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EC587" w14:textId="094D9A75"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4651F2">
        <w:t>9</w:t>
      </w:r>
      <w:r w:rsidR="00B10098">
        <w:t>-e</w:t>
      </w:r>
      <w:r w:rsidRPr="00CE0424">
        <w:tab/>
      </w:r>
      <w:proofErr w:type="spellStart"/>
      <w:r w:rsidRPr="00CE0424">
        <w:rPr>
          <w:sz w:val="32"/>
          <w:szCs w:val="32"/>
        </w:rPr>
        <w:t>Tdoc</w:t>
      </w:r>
      <w:proofErr w:type="spellEnd"/>
      <w:r w:rsidRPr="00CE0424">
        <w:rPr>
          <w:sz w:val="32"/>
          <w:szCs w:val="32"/>
        </w:rPr>
        <w:t xml:space="preserve"> </w:t>
      </w:r>
      <w:r w:rsidR="00A50544" w:rsidRPr="00CB3CBE">
        <w:rPr>
          <w:sz w:val="32"/>
          <w:szCs w:val="32"/>
        </w:rPr>
        <w:t>R2-2000786</w:t>
      </w:r>
    </w:p>
    <w:p w14:paraId="0B9CA2F7" w14:textId="4F92CC44" w:rsidR="00E90E49" w:rsidRPr="00B10098" w:rsidRDefault="00B10098" w:rsidP="00B10098">
      <w:pPr>
        <w:overflowPunct/>
        <w:autoSpaceDE/>
        <w:autoSpaceDN/>
        <w:adjustRightInd/>
        <w:spacing w:after="0"/>
        <w:textAlignment w:val="auto"/>
        <w:rPr>
          <w:rFonts w:ascii="Arial" w:eastAsia="Times New Roman" w:hAnsi="Arial" w:cs="Arial"/>
          <w:b/>
          <w:bCs/>
          <w:sz w:val="24"/>
          <w:szCs w:val="24"/>
          <w:lang w:eastAsia="zh-CN"/>
        </w:rPr>
      </w:pPr>
      <w:r w:rsidRPr="00B10098">
        <w:rPr>
          <w:rFonts w:ascii="Arial" w:eastAsia="Times New Roman" w:hAnsi="Arial" w:cs="Arial"/>
          <w:b/>
          <w:bCs/>
          <w:sz w:val="24"/>
          <w:szCs w:val="24"/>
          <w:lang w:eastAsia="zh-CN"/>
        </w:rPr>
        <w:t>Electronic meeting, 24</w:t>
      </w:r>
      <w:r w:rsidRPr="00B10098">
        <w:rPr>
          <w:rFonts w:ascii="Arial" w:eastAsia="Times New Roman" w:hAnsi="Arial" w:cs="Arial"/>
          <w:b/>
          <w:bCs/>
          <w:sz w:val="24"/>
          <w:szCs w:val="24"/>
          <w:vertAlign w:val="superscript"/>
          <w:lang w:eastAsia="zh-CN"/>
        </w:rPr>
        <w:t>th</w:t>
      </w:r>
      <w:r w:rsidRPr="00B10098">
        <w:rPr>
          <w:rFonts w:ascii="Arial" w:eastAsia="Times New Roman" w:hAnsi="Arial" w:cs="Arial"/>
          <w:b/>
          <w:bCs/>
          <w:sz w:val="24"/>
          <w:szCs w:val="24"/>
          <w:lang w:eastAsia="zh-CN"/>
        </w:rPr>
        <w:t xml:space="preserve"> February – 6</w:t>
      </w:r>
      <w:r w:rsidRPr="00B10098">
        <w:rPr>
          <w:rFonts w:ascii="Arial" w:eastAsia="Times New Roman" w:hAnsi="Arial" w:cs="Arial"/>
          <w:b/>
          <w:bCs/>
          <w:sz w:val="24"/>
          <w:szCs w:val="24"/>
          <w:vertAlign w:val="superscript"/>
          <w:lang w:eastAsia="zh-CN"/>
        </w:rPr>
        <w:t xml:space="preserve">th </w:t>
      </w:r>
      <w:proofErr w:type="gramStart"/>
      <w:r w:rsidRPr="00B10098">
        <w:rPr>
          <w:rFonts w:ascii="Arial" w:eastAsia="Times New Roman" w:hAnsi="Arial" w:cs="Arial"/>
          <w:b/>
          <w:bCs/>
          <w:sz w:val="24"/>
          <w:szCs w:val="24"/>
          <w:lang w:eastAsia="zh-CN"/>
        </w:rPr>
        <w:t>March,</w:t>
      </w:r>
      <w:proofErr w:type="gramEnd"/>
      <w:r w:rsidRPr="00B10098">
        <w:rPr>
          <w:rFonts w:ascii="Arial" w:eastAsia="Times New Roman" w:hAnsi="Arial" w:cs="Arial"/>
          <w:b/>
          <w:bCs/>
          <w:sz w:val="24"/>
          <w:szCs w:val="24"/>
          <w:lang w:eastAsia="zh-CN"/>
        </w:rPr>
        <w:t xml:space="preserve"> 2020</w:t>
      </w:r>
      <w:r>
        <w:rPr>
          <w:rFonts w:ascii="Arial" w:eastAsia="Times New Roman" w:hAnsi="Arial" w:cs="Arial"/>
          <w:b/>
          <w:bCs/>
          <w:sz w:val="24"/>
          <w:szCs w:val="24"/>
          <w:lang w:eastAsia="zh-CN"/>
        </w:rPr>
        <w:tab/>
      </w:r>
      <w:r>
        <w:rPr>
          <w:rFonts w:ascii="Arial" w:eastAsia="Times New Roman" w:hAnsi="Arial" w:cs="Arial"/>
          <w:b/>
          <w:bCs/>
          <w:sz w:val="24"/>
          <w:szCs w:val="24"/>
          <w:lang w:eastAsia="zh-CN"/>
        </w:rPr>
        <w:tab/>
      </w:r>
      <w:r w:rsidR="00FB7C1F" w:rsidRPr="0007276C">
        <w:rPr>
          <w:rFonts w:ascii="Arial" w:eastAsia="Times New Roman" w:hAnsi="Arial" w:cs="Arial"/>
          <w:b/>
          <w:bCs/>
          <w:sz w:val="24"/>
          <w:szCs w:val="24"/>
          <w:lang w:eastAsia="zh-CN"/>
        </w:rPr>
        <w:t>Revision of R2-1914</w:t>
      </w:r>
      <w:r w:rsidR="00DC6854" w:rsidRPr="0007276C">
        <w:rPr>
          <w:rFonts w:ascii="Arial" w:eastAsia="Times New Roman" w:hAnsi="Arial" w:cs="Arial"/>
          <w:b/>
          <w:bCs/>
          <w:sz w:val="24"/>
          <w:szCs w:val="24"/>
          <w:lang w:eastAsia="zh-CN"/>
        </w:rPr>
        <w:t>749</w:t>
      </w:r>
    </w:p>
    <w:p w14:paraId="13249149" w14:textId="77777777" w:rsidR="00E90E49" w:rsidRPr="00DB6FAF" w:rsidRDefault="00E90E49" w:rsidP="00357380">
      <w:pPr>
        <w:pStyle w:val="3GPPHeader"/>
        <w:rPr>
          <w:lang w:val="sv-SE"/>
        </w:rPr>
      </w:pPr>
    </w:p>
    <w:p w14:paraId="7CE64FCB" w14:textId="2E4B72BD" w:rsidR="00E90E49" w:rsidRPr="00C92F6B" w:rsidRDefault="00E90E49" w:rsidP="00311702">
      <w:pPr>
        <w:pStyle w:val="3GPPHeader"/>
        <w:rPr>
          <w:sz w:val="22"/>
          <w:szCs w:val="22"/>
          <w:lang w:val="sv-SE"/>
        </w:rPr>
      </w:pPr>
      <w:r w:rsidRPr="00C92F6B">
        <w:rPr>
          <w:sz w:val="22"/>
          <w:szCs w:val="22"/>
          <w:lang w:val="sv-SE"/>
        </w:rPr>
        <w:t>Agenda Item:</w:t>
      </w:r>
      <w:r w:rsidRPr="00C92F6B">
        <w:rPr>
          <w:sz w:val="22"/>
          <w:szCs w:val="22"/>
          <w:lang w:val="sv-SE"/>
        </w:rPr>
        <w:tab/>
      </w:r>
      <w:r w:rsidR="00605D46">
        <w:rPr>
          <w:sz w:val="22"/>
          <w:szCs w:val="22"/>
          <w:lang w:val="sv-SE"/>
        </w:rPr>
        <w:t>6.7.2.1</w:t>
      </w:r>
    </w:p>
    <w:p w14:paraId="2A901A61" w14:textId="01A4EB7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9545BF">
        <w:rPr>
          <w:sz w:val="22"/>
          <w:szCs w:val="22"/>
        </w:rPr>
        <w:t>, LG, Samsung</w:t>
      </w:r>
    </w:p>
    <w:p w14:paraId="7550C9FC" w14:textId="31102F55" w:rsidR="00E90E49" w:rsidRPr="00CE0424" w:rsidRDefault="003D3C45" w:rsidP="00311702">
      <w:pPr>
        <w:pStyle w:val="3GPPHeader"/>
        <w:rPr>
          <w:sz w:val="22"/>
          <w:szCs w:val="22"/>
        </w:rPr>
      </w:pPr>
      <w:r>
        <w:rPr>
          <w:sz w:val="22"/>
          <w:szCs w:val="22"/>
        </w:rPr>
        <w:t>Title:</w:t>
      </w:r>
      <w:r w:rsidR="00E90E49" w:rsidRPr="00CE0424">
        <w:rPr>
          <w:sz w:val="22"/>
          <w:szCs w:val="22"/>
        </w:rPr>
        <w:tab/>
      </w:r>
      <w:r w:rsidR="00022A90">
        <w:rPr>
          <w:sz w:val="22"/>
          <w:szCs w:val="22"/>
        </w:rPr>
        <w:t>On Downlink Delay Compensation</w:t>
      </w:r>
    </w:p>
    <w:p w14:paraId="3761C514" w14:textId="77777777" w:rsidR="00E90E49" w:rsidRPr="007F504B" w:rsidRDefault="00E90E49" w:rsidP="00A159C4">
      <w:pPr>
        <w:pStyle w:val="3GPPHeader"/>
        <w:jc w:val="left"/>
        <w:rPr>
          <w:rFonts w:eastAsiaTheme="minorEastAsia"/>
          <w:sz w:val="22"/>
          <w:szCs w:val="22"/>
        </w:rPr>
      </w:pPr>
      <w:r w:rsidRPr="00CE0424">
        <w:rPr>
          <w:sz w:val="22"/>
          <w:szCs w:val="22"/>
        </w:rPr>
        <w:t>Document for:</w:t>
      </w:r>
      <w:bookmarkStart w:id="0" w:name="_GoBack"/>
      <w:bookmarkEnd w:id="0"/>
      <w:r w:rsidRPr="00CE0424">
        <w:rPr>
          <w:sz w:val="22"/>
          <w:szCs w:val="22"/>
        </w:rPr>
        <w:tab/>
      </w:r>
      <w:r w:rsidRPr="00A737F5">
        <w:rPr>
          <w:sz w:val="22"/>
          <w:szCs w:val="22"/>
        </w:rPr>
        <w:t>Discussion, Decision</w:t>
      </w:r>
    </w:p>
    <w:p w14:paraId="3CD265E9" w14:textId="77777777" w:rsidR="00E90E49" w:rsidRPr="00CE0424" w:rsidRDefault="00E90E49" w:rsidP="00E90E49"/>
    <w:p w14:paraId="6E9C66B8" w14:textId="77777777" w:rsidR="00E90E49" w:rsidRPr="00CE0424" w:rsidRDefault="00230D18" w:rsidP="00CE0424">
      <w:pPr>
        <w:pStyle w:val="Heading1"/>
      </w:pPr>
      <w:r>
        <w:t>1</w:t>
      </w:r>
      <w:r>
        <w:tab/>
      </w:r>
      <w:r w:rsidR="00E90E49" w:rsidRPr="00CE0424">
        <w:t>Introduction</w:t>
      </w:r>
    </w:p>
    <w:p w14:paraId="011DA133" w14:textId="0B6EFDDF" w:rsidR="00477768" w:rsidRDefault="005F5D2F" w:rsidP="00CE0424">
      <w:pPr>
        <w:pStyle w:val="BodyText"/>
      </w:pPr>
      <w:r>
        <w:t xml:space="preserve">In the RAN2#108, the following has been </w:t>
      </w:r>
      <w:r w:rsidR="00830393">
        <w:t xml:space="preserve">captured related </w:t>
      </w:r>
      <w:r>
        <w:t xml:space="preserve">to the downlink delay compensation. </w:t>
      </w:r>
    </w:p>
    <w:tbl>
      <w:tblPr>
        <w:tblStyle w:val="TableGrid"/>
        <w:tblW w:w="0" w:type="auto"/>
        <w:tblLook w:val="04A0" w:firstRow="1" w:lastRow="0" w:firstColumn="1" w:lastColumn="0" w:noHBand="0" w:noVBand="1"/>
      </w:tblPr>
      <w:tblGrid>
        <w:gridCol w:w="9629"/>
      </w:tblGrid>
      <w:tr w:rsidR="00B714B6" w14:paraId="660DC0AB" w14:textId="77777777" w:rsidTr="00B714B6">
        <w:tc>
          <w:tcPr>
            <w:tcW w:w="9629" w:type="dxa"/>
          </w:tcPr>
          <w:p w14:paraId="37C9BABA" w14:textId="77777777" w:rsidR="00B714B6" w:rsidRPr="00B3623E" w:rsidRDefault="00B714B6" w:rsidP="00B714B6">
            <w:pPr>
              <w:pStyle w:val="Agreement"/>
              <w:ind w:left="357" w:hanging="357"/>
              <w:rPr>
                <w:sz w:val="20"/>
                <w:szCs w:val="22"/>
              </w:rPr>
            </w:pPr>
            <w:r w:rsidRPr="00B3623E">
              <w:rPr>
                <w:sz w:val="20"/>
                <w:szCs w:val="22"/>
              </w:rPr>
              <w:t>The following is FFS (Ericsson and LG have concerns):</w:t>
            </w:r>
          </w:p>
          <w:p w14:paraId="510D5107" w14:textId="77777777" w:rsidR="00B714B6" w:rsidRPr="00B3623E" w:rsidRDefault="00B714B6" w:rsidP="00B714B6">
            <w:pPr>
              <w:pStyle w:val="Agreement"/>
              <w:numPr>
                <w:ilvl w:val="2"/>
                <w:numId w:val="23"/>
              </w:numPr>
              <w:ind w:left="357" w:hanging="357"/>
              <w:rPr>
                <w:sz w:val="20"/>
                <w:szCs w:val="22"/>
              </w:rPr>
            </w:pPr>
            <w:r w:rsidRPr="00B3623E">
              <w:rPr>
                <w:sz w:val="20"/>
                <w:szCs w:val="22"/>
              </w:rPr>
              <w:t xml:space="preserve">R2 assume that UE may perform propagation delay compensation. </w:t>
            </w:r>
          </w:p>
          <w:p w14:paraId="06EA631F" w14:textId="77777777" w:rsidR="00B714B6" w:rsidRPr="00B3623E" w:rsidRDefault="00B714B6" w:rsidP="00B714B6">
            <w:pPr>
              <w:pStyle w:val="Agreement"/>
              <w:numPr>
                <w:ilvl w:val="2"/>
                <w:numId w:val="23"/>
              </w:numPr>
              <w:ind w:left="357" w:hanging="357"/>
              <w:rPr>
                <w:sz w:val="20"/>
                <w:szCs w:val="22"/>
              </w:rPr>
            </w:pPr>
            <w:r w:rsidRPr="00B3623E">
              <w:rPr>
                <w:sz w:val="20"/>
                <w:szCs w:val="22"/>
              </w:rPr>
              <w:t>We don’t specify how the UE perform propagation delay compensation.</w:t>
            </w:r>
          </w:p>
          <w:p w14:paraId="745117DF" w14:textId="0B0EF75E" w:rsidR="00B714B6" w:rsidRPr="00B714B6" w:rsidRDefault="00B714B6" w:rsidP="00CE0424">
            <w:pPr>
              <w:pStyle w:val="Agreement"/>
              <w:numPr>
                <w:ilvl w:val="2"/>
                <w:numId w:val="23"/>
              </w:numPr>
              <w:ind w:left="357" w:hanging="357"/>
            </w:pPr>
            <w:r w:rsidRPr="00B3623E">
              <w:rPr>
                <w:sz w:val="20"/>
                <w:szCs w:val="22"/>
              </w:rPr>
              <w:t xml:space="preserve">For unicast and broadcast, the network can indicate to the UE to not do delay compensation. </w:t>
            </w:r>
          </w:p>
        </w:tc>
      </w:tr>
    </w:tbl>
    <w:p w14:paraId="12E04ADE" w14:textId="31B7E71F" w:rsidR="005F5D2F" w:rsidRDefault="005F5D2F" w:rsidP="00CE0424">
      <w:pPr>
        <w:pStyle w:val="BodyText"/>
      </w:pPr>
    </w:p>
    <w:p w14:paraId="61C4A21B" w14:textId="1C1C953C" w:rsidR="005F5D2F" w:rsidRPr="00CE0424" w:rsidRDefault="005F5D2F" w:rsidP="00CE0424">
      <w:pPr>
        <w:pStyle w:val="BodyText"/>
      </w:pPr>
      <w:r>
        <w:rPr>
          <w:rFonts w:cs="Arial"/>
          <w:lang w:val="en-US"/>
        </w:rPr>
        <w:t xml:space="preserve">In this paper, </w:t>
      </w:r>
      <w:r w:rsidRPr="001374CB">
        <w:rPr>
          <w:rFonts w:cs="Arial"/>
          <w:lang w:val="en-US"/>
        </w:rPr>
        <w:t xml:space="preserve">we discuss </w:t>
      </w:r>
      <w:r w:rsidR="00F72695">
        <w:rPr>
          <w:rFonts w:cs="Arial"/>
          <w:lang w:val="en-US"/>
        </w:rPr>
        <w:t xml:space="preserve">this </w:t>
      </w:r>
      <w:r w:rsidR="00B714B6">
        <w:rPr>
          <w:rFonts w:cs="Arial"/>
          <w:lang w:val="en-US"/>
        </w:rPr>
        <w:t>FFS</w:t>
      </w:r>
      <w:r>
        <w:rPr>
          <w:rFonts w:cs="Arial"/>
          <w:lang w:val="en-US"/>
        </w:rPr>
        <w:t>.</w:t>
      </w:r>
    </w:p>
    <w:p w14:paraId="68BDDAD8" w14:textId="16843D53" w:rsidR="004000E8" w:rsidRDefault="00230D18" w:rsidP="00CE0424">
      <w:pPr>
        <w:pStyle w:val="Heading1"/>
      </w:pPr>
      <w:bookmarkStart w:id="1" w:name="_Ref178064866"/>
      <w:r>
        <w:t>2</w:t>
      </w:r>
      <w:r>
        <w:tab/>
      </w:r>
      <w:r w:rsidR="004000E8" w:rsidRPr="00CE0424">
        <w:t>Discussion</w:t>
      </w:r>
      <w:bookmarkEnd w:id="1"/>
    </w:p>
    <w:p w14:paraId="1E206EB2" w14:textId="661D0F4D" w:rsidR="00C426AF" w:rsidRDefault="00C426AF" w:rsidP="004541ED">
      <w:pPr>
        <w:spacing w:before="120"/>
        <w:rPr>
          <w:rFonts w:ascii="Arial" w:hAnsi="Arial" w:cs="Arial"/>
        </w:rPr>
      </w:pPr>
      <w:r>
        <w:rPr>
          <w:rFonts w:ascii="Arial" w:hAnsi="Arial" w:cs="Arial"/>
        </w:rPr>
        <w:t xml:space="preserve">In SA#86, a tighter requirement </w:t>
      </w:r>
      <w:r w:rsidR="00BC5824">
        <w:rPr>
          <w:rFonts w:ascii="Arial" w:hAnsi="Arial" w:cs="Arial"/>
        </w:rPr>
        <w:t xml:space="preserve">on the 5G system </w:t>
      </w:r>
      <w:r>
        <w:rPr>
          <w:rFonts w:ascii="Arial" w:hAnsi="Arial" w:cs="Arial"/>
        </w:rPr>
        <w:t xml:space="preserve">than the 1 us is agreed in </w:t>
      </w:r>
      <w:r w:rsidRPr="00E819B8">
        <w:rPr>
          <w:rFonts w:ascii="Arial" w:hAnsi="Arial" w:cs="Arial"/>
        </w:rPr>
        <w:t>S1-19361</w:t>
      </w:r>
      <w:r>
        <w:rPr>
          <w:rFonts w:ascii="Arial" w:hAnsi="Arial" w:cs="Arial"/>
        </w:rPr>
        <w:t xml:space="preserve">9 </w:t>
      </w:r>
      <w:r w:rsidR="00053309">
        <w:rPr>
          <w:rFonts w:ascii="Arial" w:hAnsi="Arial" w:cs="Arial"/>
        </w:rPr>
        <w:fldChar w:fldCharType="begin"/>
      </w:r>
      <w:r w:rsidR="00053309">
        <w:rPr>
          <w:rFonts w:ascii="Arial" w:hAnsi="Arial" w:cs="Arial"/>
        </w:rPr>
        <w:instrText xml:space="preserve"> REF _Ref28854711 \r \h </w:instrText>
      </w:r>
      <w:r w:rsidR="00053309">
        <w:rPr>
          <w:rFonts w:ascii="Arial" w:hAnsi="Arial" w:cs="Arial"/>
        </w:rPr>
      </w:r>
      <w:r w:rsidR="00053309">
        <w:rPr>
          <w:rFonts w:ascii="Arial" w:hAnsi="Arial" w:cs="Arial"/>
        </w:rPr>
        <w:fldChar w:fldCharType="separate"/>
      </w:r>
      <w:r w:rsidR="00053309">
        <w:rPr>
          <w:rFonts w:ascii="Arial" w:hAnsi="Arial" w:cs="Arial"/>
        </w:rPr>
        <w:t>[1]</w:t>
      </w:r>
      <w:r w:rsidR="00053309">
        <w:rPr>
          <w:rFonts w:ascii="Arial" w:hAnsi="Arial" w:cs="Arial"/>
        </w:rPr>
        <w:fldChar w:fldCharType="end"/>
      </w:r>
      <w:r w:rsidR="00053309">
        <w:rPr>
          <w:rFonts w:ascii="Arial" w:hAnsi="Arial" w:cs="Arial"/>
        </w:rPr>
        <w:t xml:space="preserve"> </w:t>
      </w:r>
      <w:r>
        <w:rPr>
          <w:rFonts w:ascii="Arial" w:hAnsi="Arial" w:cs="Arial"/>
        </w:rPr>
        <w:t xml:space="preserve">both for release 16 and release 17 </w:t>
      </w:r>
      <w:r w:rsidR="00BC5824">
        <w:rPr>
          <w:rFonts w:ascii="Arial" w:hAnsi="Arial" w:cs="Arial"/>
        </w:rPr>
        <w:t>(</w:t>
      </w:r>
      <w:r>
        <w:rPr>
          <w:rFonts w:ascii="Arial" w:hAnsi="Arial" w:cs="Arial"/>
        </w:rPr>
        <w:t xml:space="preserve">see </w:t>
      </w:r>
      <w:r w:rsidR="004F3C51">
        <w:rPr>
          <w:rFonts w:ascii="Arial" w:hAnsi="Arial" w:cs="Arial"/>
        </w:rPr>
        <w:t xml:space="preserve">clause 5.6.2 of </w:t>
      </w:r>
      <w:r>
        <w:rPr>
          <w:rFonts w:ascii="Arial" w:hAnsi="Arial" w:cs="Arial"/>
        </w:rPr>
        <w:t>TS 22.104</w:t>
      </w:r>
      <w:r w:rsidR="00877C89">
        <w:rPr>
          <w:rFonts w:ascii="Arial" w:hAnsi="Arial" w:cs="Arial"/>
        </w:rPr>
        <w:t xml:space="preserve"> V16.4.0 and V17.2.0)</w:t>
      </w:r>
      <w:r w:rsidR="00BC5824">
        <w:rPr>
          <w:rFonts w:ascii="Arial" w:hAnsi="Arial" w:cs="Arial"/>
        </w:rPr>
        <w:t>. The reason</w:t>
      </w:r>
      <w:r w:rsidR="004541ED">
        <w:rPr>
          <w:rFonts w:ascii="Arial" w:hAnsi="Arial" w:cs="Arial"/>
        </w:rPr>
        <w:t xml:space="preserve"> for the change </w:t>
      </w:r>
      <w:r w:rsidR="00BC5824">
        <w:rPr>
          <w:rFonts w:ascii="Arial" w:hAnsi="Arial" w:cs="Arial"/>
        </w:rPr>
        <w:t>is that t</w:t>
      </w:r>
      <w:r w:rsidR="00BC5824" w:rsidRPr="00BC5824">
        <w:rPr>
          <w:rFonts w:ascii="Arial" w:hAnsi="Arial" w:cs="Arial"/>
        </w:rPr>
        <w:t xml:space="preserve">he requirements on </w:t>
      </w:r>
      <w:r w:rsidR="00FD4889">
        <w:rPr>
          <w:rFonts w:ascii="Arial" w:hAnsi="Arial" w:cs="Arial"/>
        </w:rPr>
        <w:t>end</w:t>
      </w:r>
      <w:r w:rsidR="00BE353C">
        <w:rPr>
          <w:rFonts w:ascii="Arial" w:hAnsi="Arial" w:cs="Arial"/>
        </w:rPr>
        <w:t xml:space="preserve">-to-end </w:t>
      </w:r>
      <w:r w:rsidR="00BC5824" w:rsidRPr="00BC5824">
        <w:rPr>
          <w:rFonts w:ascii="Arial" w:hAnsi="Arial" w:cs="Arial"/>
        </w:rPr>
        <w:t>clock synchronicity and time synchronization precision are formulated in a way that encompasses nodes that are outside of the 5G system and hence outside the scope of 3GPP. It is therefore impossible to determine what the clock synchronicity budget for the 5G system is</w:t>
      </w:r>
      <w:r w:rsidR="00BC5824">
        <w:rPr>
          <w:rFonts w:ascii="Arial" w:hAnsi="Arial" w:cs="Arial"/>
        </w:rPr>
        <w:t xml:space="preserve">. Since the end-to-end time synchronization </w:t>
      </w:r>
      <w:r w:rsidR="00585CF0">
        <w:rPr>
          <w:rFonts w:ascii="Arial" w:hAnsi="Arial" w:cs="Arial"/>
        </w:rPr>
        <w:t xml:space="preserve">(uncertainty) </w:t>
      </w:r>
      <w:r w:rsidR="004401E3">
        <w:rPr>
          <w:rFonts w:ascii="Arial" w:hAnsi="Arial" w:cs="Arial"/>
        </w:rPr>
        <w:t xml:space="preserve">requirement </w:t>
      </w:r>
      <w:r w:rsidR="00BC5824">
        <w:rPr>
          <w:rFonts w:ascii="Arial" w:hAnsi="Arial" w:cs="Arial"/>
        </w:rPr>
        <w:t xml:space="preserve">is still 1 us, </w:t>
      </w:r>
      <w:r w:rsidR="004F2250">
        <w:rPr>
          <w:rFonts w:ascii="Arial" w:hAnsi="Arial" w:cs="Arial"/>
        </w:rPr>
        <w:t xml:space="preserve">it is expected that the synchronization </w:t>
      </w:r>
      <w:r w:rsidR="00BC5824">
        <w:rPr>
          <w:rFonts w:ascii="Arial" w:hAnsi="Arial" w:cs="Arial"/>
        </w:rPr>
        <w:t xml:space="preserve">requirement </w:t>
      </w:r>
      <w:r w:rsidR="004F2250">
        <w:rPr>
          <w:rFonts w:ascii="Arial" w:hAnsi="Arial" w:cs="Arial"/>
        </w:rPr>
        <w:t xml:space="preserve">on the </w:t>
      </w:r>
      <w:r w:rsidR="00894397">
        <w:rPr>
          <w:rFonts w:ascii="Arial" w:hAnsi="Arial" w:cs="Arial"/>
        </w:rPr>
        <w:t xml:space="preserve">5G system </w:t>
      </w:r>
      <w:r w:rsidR="004F2250">
        <w:rPr>
          <w:rFonts w:ascii="Arial" w:hAnsi="Arial" w:cs="Arial"/>
        </w:rPr>
        <w:t xml:space="preserve">is significantly tighter than 1 us, with the final value to be further </w:t>
      </w:r>
      <w:r w:rsidR="00967E8D">
        <w:rPr>
          <w:rFonts w:ascii="Arial" w:hAnsi="Arial" w:cs="Arial"/>
        </w:rPr>
        <w:t xml:space="preserve">determined by </w:t>
      </w:r>
      <w:r w:rsidR="004F2250">
        <w:rPr>
          <w:rFonts w:ascii="Arial" w:hAnsi="Arial" w:cs="Arial"/>
        </w:rPr>
        <w:t xml:space="preserve">SA1. </w:t>
      </w:r>
    </w:p>
    <w:p w14:paraId="2101B3CF" w14:textId="2D636E0F" w:rsidR="004F2250" w:rsidRPr="00513A6D" w:rsidRDefault="00967E8D" w:rsidP="00E82507">
      <w:pPr>
        <w:spacing w:before="120"/>
        <w:rPr>
          <w:rFonts w:ascii="Arial" w:hAnsi="Arial" w:cs="Arial"/>
        </w:rPr>
      </w:pPr>
      <w:r w:rsidRPr="00967E8D">
        <w:rPr>
          <w:rFonts w:ascii="Arial" w:hAnsi="Arial" w:cs="Arial"/>
        </w:rPr>
        <w:t xml:space="preserve">On the </w:t>
      </w:r>
      <w:r>
        <w:rPr>
          <w:rFonts w:ascii="Arial" w:hAnsi="Arial" w:cs="Arial"/>
        </w:rPr>
        <w:t xml:space="preserve">other hand, </w:t>
      </w:r>
      <w:r w:rsidR="00B97DA2">
        <w:rPr>
          <w:rFonts w:ascii="Arial" w:hAnsi="Arial" w:cs="Arial"/>
        </w:rPr>
        <w:t>i</w:t>
      </w:r>
      <w:r w:rsidR="004F2250" w:rsidRPr="00513A6D">
        <w:rPr>
          <w:rFonts w:ascii="Arial" w:hAnsi="Arial" w:cs="Arial"/>
        </w:rPr>
        <w:t>n Sec. 6.3.2.4. of TR 38.825</w:t>
      </w:r>
      <w:r w:rsidR="00D66CEB">
        <w:rPr>
          <w:rFonts w:ascii="Arial" w:hAnsi="Arial" w:cs="Arial"/>
        </w:rPr>
        <w:t xml:space="preserve">, </w:t>
      </w:r>
      <w:r w:rsidR="00E82507">
        <w:rPr>
          <w:rFonts w:ascii="Arial" w:hAnsi="Arial" w:cs="Arial"/>
        </w:rPr>
        <w:t>it is concluded that a timing synchronization error between a gNB and a UE no worse than 540ns is achievable based on</w:t>
      </w:r>
      <w:r w:rsidR="00D46DC7">
        <w:rPr>
          <w:rFonts w:ascii="Arial" w:hAnsi="Arial" w:cs="Arial"/>
        </w:rPr>
        <w:t xml:space="preserve"> </w:t>
      </w:r>
      <w:r w:rsidR="00C53632">
        <w:rPr>
          <w:rFonts w:ascii="Arial" w:hAnsi="Arial" w:cs="Arial"/>
        </w:rPr>
        <w:t xml:space="preserve">the </w:t>
      </w:r>
      <w:r w:rsidR="00D46DC7">
        <w:rPr>
          <w:rFonts w:ascii="Arial" w:hAnsi="Arial" w:cs="Arial"/>
        </w:rPr>
        <w:t>legacy</w:t>
      </w:r>
      <w:r w:rsidR="00E82507">
        <w:rPr>
          <w:rFonts w:ascii="Arial" w:hAnsi="Arial" w:cs="Arial"/>
        </w:rPr>
        <w:t xml:space="preserve"> </w:t>
      </w:r>
      <w:r w:rsidR="00E82507" w:rsidRPr="00724E7F">
        <w:rPr>
          <w:rFonts w:ascii="Arial" w:hAnsi="Arial" w:cs="Arial"/>
          <w:i/>
        </w:rPr>
        <w:t xml:space="preserve">timing-advance </w:t>
      </w:r>
      <w:r w:rsidR="00E82507" w:rsidRPr="00611AD3">
        <w:rPr>
          <w:rFonts w:ascii="Arial" w:hAnsi="Arial" w:cs="Arial"/>
          <w:iCs/>
        </w:rPr>
        <w:t>method</w:t>
      </w:r>
      <w:r w:rsidR="00E82507">
        <w:rPr>
          <w:rFonts w:ascii="Arial" w:hAnsi="Arial" w:cs="Arial"/>
        </w:rPr>
        <w:t xml:space="preserve">. With </w:t>
      </w:r>
      <w:r w:rsidR="00EE32C1">
        <w:rPr>
          <w:rFonts w:ascii="Arial" w:hAnsi="Arial" w:cs="Arial"/>
        </w:rPr>
        <w:t xml:space="preserve">this </w:t>
      </w:r>
      <w:r w:rsidR="00E82507">
        <w:rPr>
          <w:rFonts w:ascii="Arial" w:hAnsi="Arial" w:cs="Arial"/>
        </w:rPr>
        <w:t xml:space="preserve">updated requirement, it is not clear whether TA based downlink delay compensation enhancements can </w:t>
      </w:r>
      <w:r w:rsidR="00872302">
        <w:rPr>
          <w:rFonts w:ascii="Arial" w:hAnsi="Arial" w:cs="Arial"/>
        </w:rPr>
        <w:t>be us</w:t>
      </w:r>
      <w:r w:rsidR="00D037FB">
        <w:rPr>
          <w:rFonts w:ascii="Arial" w:hAnsi="Arial" w:cs="Arial"/>
        </w:rPr>
        <w:t>ed t</w:t>
      </w:r>
      <w:r w:rsidR="00D94BA8">
        <w:rPr>
          <w:rFonts w:ascii="Arial" w:hAnsi="Arial" w:cs="Arial"/>
        </w:rPr>
        <w:t>owards</w:t>
      </w:r>
      <w:r w:rsidR="00A25A7F">
        <w:rPr>
          <w:rFonts w:ascii="Arial" w:hAnsi="Arial" w:cs="Arial"/>
        </w:rPr>
        <w:t xml:space="preserve"> </w:t>
      </w:r>
      <w:r w:rsidR="00E82507">
        <w:rPr>
          <w:rFonts w:ascii="Arial" w:hAnsi="Arial" w:cs="Arial"/>
        </w:rPr>
        <w:t>fulfil</w:t>
      </w:r>
      <w:r w:rsidR="00A25A7F">
        <w:rPr>
          <w:rFonts w:ascii="Arial" w:hAnsi="Arial" w:cs="Arial"/>
        </w:rPr>
        <w:t xml:space="preserve">ling the </w:t>
      </w:r>
      <w:r w:rsidR="0055475F">
        <w:rPr>
          <w:rFonts w:ascii="Arial" w:hAnsi="Arial" w:cs="Arial"/>
        </w:rPr>
        <w:t>1 us end-to-end time synchronization</w:t>
      </w:r>
      <w:r w:rsidR="00585CF0">
        <w:rPr>
          <w:rFonts w:ascii="Arial" w:hAnsi="Arial" w:cs="Arial"/>
        </w:rPr>
        <w:t xml:space="preserve"> </w:t>
      </w:r>
      <w:r w:rsidR="0055475F">
        <w:rPr>
          <w:rFonts w:ascii="Arial" w:hAnsi="Arial" w:cs="Arial"/>
        </w:rPr>
        <w:t>requirement</w:t>
      </w:r>
      <w:r w:rsidR="00434EF3">
        <w:rPr>
          <w:rFonts w:ascii="Arial" w:hAnsi="Arial" w:cs="Arial"/>
        </w:rPr>
        <w:t xml:space="preserve"> </w:t>
      </w:r>
      <w:r w:rsidR="00434EF3" w:rsidRPr="00434EF3">
        <w:rPr>
          <w:rFonts w:ascii="Arial" w:hAnsi="Arial" w:cs="Arial"/>
          <w:b/>
          <w:bCs/>
          <w:u w:val="single"/>
        </w:rPr>
        <w:t>even in Rel-16</w:t>
      </w:r>
      <w:r w:rsidR="00E82507">
        <w:rPr>
          <w:rFonts w:ascii="Arial" w:hAnsi="Arial" w:cs="Arial"/>
        </w:rPr>
        <w:t xml:space="preserve">. </w:t>
      </w:r>
    </w:p>
    <w:p w14:paraId="0D66FDEB" w14:textId="50D6331B" w:rsidR="00AE6788" w:rsidRPr="00AE6788" w:rsidRDefault="00EE32C1" w:rsidP="00872AC9">
      <w:pPr>
        <w:pStyle w:val="Observation"/>
      </w:pPr>
      <w:bookmarkStart w:id="2" w:name="_Toc20729437"/>
      <w:bookmarkStart w:id="3" w:name="_Toc20834134"/>
      <w:bookmarkStart w:id="4" w:name="_Toc23770640"/>
      <w:bookmarkStart w:id="5" w:name="_Toc23926250"/>
      <w:bookmarkStart w:id="6" w:name="_Toc23959663"/>
      <w:bookmarkStart w:id="7" w:name="_Toc32484369"/>
      <w:r>
        <w:t xml:space="preserve">To </w:t>
      </w:r>
      <w:r w:rsidR="001156F1">
        <w:t>fulfil</w:t>
      </w:r>
      <w:r>
        <w:t xml:space="preserve"> the updated Rel-16 SA1 requirement, t</w:t>
      </w:r>
      <w:r w:rsidR="00AE6788" w:rsidRPr="00AE6788">
        <w:t xml:space="preserve">here </w:t>
      </w:r>
      <w:r>
        <w:t xml:space="preserve">might be </w:t>
      </w:r>
      <w:r w:rsidR="00AE6788" w:rsidRPr="00AE6788">
        <w:t xml:space="preserve">a need </w:t>
      </w:r>
      <w:r w:rsidR="003B1C23">
        <w:t xml:space="preserve">to study </w:t>
      </w:r>
      <w:r w:rsidR="00AE6788" w:rsidRPr="00AE6788">
        <w:t>downlink delay compensation enhancement beyond current TA-based methods.</w:t>
      </w:r>
      <w:bookmarkEnd w:id="2"/>
      <w:bookmarkEnd w:id="3"/>
      <w:bookmarkEnd w:id="4"/>
      <w:bookmarkEnd w:id="5"/>
      <w:bookmarkEnd w:id="6"/>
      <w:bookmarkEnd w:id="7"/>
    </w:p>
    <w:p w14:paraId="231713B7" w14:textId="4185C2AD" w:rsidR="007A5001" w:rsidRPr="007A5001" w:rsidRDefault="007A5001" w:rsidP="007A5001">
      <w:pPr>
        <w:rPr>
          <w:rFonts w:ascii="Arial" w:hAnsi="Arial" w:cs="Arial"/>
        </w:rPr>
      </w:pPr>
      <w:r w:rsidRPr="007A5001">
        <w:rPr>
          <w:rFonts w:ascii="Arial" w:hAnsi="Arial" w:cs="Arial"/>
        </w:rPr>
        <w:t xml:space="preserve">We believe downlink delay compensation is very much related with PHY layer behaviours, and all relevant procedures would be better described in PHY specifications or with more confirmed RAN1 agreements. In that regard, RAN2 should be a supporting group. </w:t>
      </w:r>
      <w:r w:rsidR="003F31CF">
        <w:rPr>
          <w:rFonts w:ascii="Arial" w:hAnsi="Arial" w:cs="Arial"/>
        </w:rPr>
        <w:t xml:space="preserve">Note that RAN1 has </w:t>
      </w:r>
      <w:r w:rsidR="005C64CA">
        <w:rPr>
          <w:rFonts w:ascii="Arial" w:hAnsi="Arial" w:cs="Arial"/>
        </w:rPr>
        <w:t xml:space="preserve">complete </w:t>
      </w:r>
      <w:r w:rsidR="003F31CF">
        <w:rPr>
          <w:rFonts w:ascii="Arial" w:hAnsi="Arial" w:cs="Arial"/>
        </w:rPr>
        <w:t>th</w:t>
      </w:r>
      <w:r w:rsidR="005C64CA">
        <w:rPr>
          <w:rFonts w:ascii="Arial" w:hAnsi="Arial" w:cs="Arial"/>
        </w:rPr>
        <w:t xml:space="preserve">eir </w:t>
      </w:r>
      <w:r w:rsidR="003F31CF">
        <w:rPr>
          <w:rFonts w:ascii="Arial" w:hAnsi="Arial" w:cs="Arial"/>
        </w:rPr>
        <w:t>release</w:t>
      </w:r>
      <w:r w:rsidR="00D33EBE">
        <w:rPr>
          <w:rFonts w:ascii="Arial" w:hAnsi="Arial" w:cs="Arial"/>
        </w:rPr>
        <w:t xml:space="preserve"> 1</w:t>
      </w:r>
      <w:r w:rsidR="000E7E72">
        <w:rPr>
          <w:rFonts w:ascii="Arial" w:hAnsi="Arial" w:cs="Arial"/>
        </w:rPr>
        <w:t>6</w:t>
      </w:r>
      <w:r w:rsidR="005C64CA">
        <w:rPr>
          <w:rFonts w:ascii="Arial" w:hAnsi="Arial" w:cs="Arial"/>
        </w:rPr>
        <w:t xml:space="preserve"> work</w:t>
      </w:r>
      <w:r w:rsidR="003F31CF">
        <w:rPr>
          <w:rFonts w:ascii="Arial" w:hAnsi="Arial" w:cs="Arial"/>
        </w:rPr>
        <w:t xml:space="preserve">.  </w:t>
      </w:r>
      <w:r w:rsidRPr="007A5001">
        <w:rPr>
          <w:rFonts w:ascii="Arial" w:hAnsi="Arial" w:cs="Arial"/>
        </w:rPr>
        <w:t>Therefore, from RAN2 point of view, we propose to leave the realization of downlink delay compensation for UE implementation in release 16 and confirm the first two FFS from the last meeting.</w:t>
      </w:r>
      <w:r w:rsidR="00BE05B4">
        <w:rPr>
          <w:rFonts w:ascii="Arial" w:hAnsi="Arial" w:cs="Arial"/>
        </w:rPr>
        <w:t xml:space="preserve"> </w:t>
      </w:r>
    </w:p>
    <w:p w14:paraId="580EAE94" w14:textId="475C12F2" w:rsidR="007A5001" w:rsidRPr="007A5001" w:rsidRDefault="007A5001" w:rsidP="00BE05B4">
      <w:pPr>
        <w:pStyle w:val="Proposal"/>
      </w:pPr>
      <w:bookmarkStart w:id="8" w:name="_Toc32484366"/>
      <w:r w:rsidRPr="007A5001">
        <w:t>As in LTE, in NR Rel-16, R2 assume that UE may perform propagation delay compensation, but we don’t specify how the UE perform propagation delay compensation.</w:t>
      </w:r>
      <w:bookmarkEnd w:id="8"/>
    </w:p>
    <w:p w14:paraId="519AA0F3" w14:textId="3C98FA48" w:rsidR="007A5001" w:rsidRDefault="007A5001" w:rsidP="00AE6788"/>
    <w:p w14:paraId="7EEBD1D7" w14:textId="0637EBC0" w:rsidR="00FE4E6A" w:rsidRDefault="00FE4E6A" w:rsidP="00FE4E6A">
      <w:pPr>
        <w:rPr>
          <w:rFonts w:ascii="Arial" w:hAnsi="Arial" w:cs="Arial"/>
        </w:rPr>
      </w:pPr>
      <w:r>
        <w:rPr>
          <w:rFonts w:ascii="Arial" w:hAnsi="Arial" w:cs="Arial"/>
        </w:rPr>
        <w:lastRenderedPageBreak/>
        <w:t xml:space="preserve">In addition, the enhancements for propagation delay compensation are included as part of the </w:t>
      </w:r>
      <w:r w:rsidR="00D17162">
        <w:rPr>
          <w:rFonts w:ascii="Arial" w:hAnsi="Arial" w:cs="Arial"/>
        </w:rPr>
        <w:t>R</w:t>
      </w:r>
      <w:r>
        <w:rPr>
          <w:rFonts w:ascii="Arial" w:hAnsi="Arial" w:cs="Arial"/>
        </w:rPr>
        <w:t xml:space="preserve">el-17 work item </w:t>
      </w:r>
      <w:r w:rsidRPr="00E328A7">
        <w:rPr>
          <w:rFonts w:ascii="Arial" w:hAnsi="Arial" w:cs="Arial"/>
        </w:rPr>
        <w:t>RP-193233</w:t>
      </w:r>
      <w:r>
        <w:rPr>
          <w:rFonts w:ascii="Arial" w:hAnsi="Arial" w:cs="Arial"/>
        </w:rPr>
        <w:t xml:space="preserve"> </w:t>
      </w:r>
      <w:r w:rsidR="00B62F2E">
        <w:rPr>
          <w:rFonts w:ascii="Arial" w:hAnsi="Arial" w:cs="Arial"/>
        </w:rPr>
        <w:fldChar w:fldCharType="begin"/>
      </w:r>
      <w:r w:rsidR="00B62F2E">
        <w:rPr>
          <w:rFonts w:ascii="Arial" w:hAnsi="Arial" w:cs="Arial"/>
        </w:rPr>
        <w:instrText xml:space="preserve"> REF _Ref28854809 \r \h </w:instrText>
      </w:r>
      <w:r w:rsidR="00B62F2E">
        <w:rPr>
          <w:rFonts w:ascii="Arial" w:hAnsi="Arial" w:cs="Arial"/>
        </w:rPr>
      </w:r>
      <w:r w:rsidR="00B62F2E">
        <w:rPr>
          <w:rFonts w:ascii="Arial" w:hAnsi="Arial" w:cs="Arial"/>
        </w:rPr>
        <w:fldChar w:fldCharType="separate"/>
      </w:r>
      <w:r w:rsidR="00B62F2E">
        <w:rPr>
          <w:rFonts w:ascii="Arial" w:hAnsi="Arial" w:cs="Arial"/>
        </w:rPr>
        <w:t>[2]</w:t>
      </w:r>
      <w:r w:rsidR="00B62F2E">
        <w:rPr>
          <w:rFonts w:ascii="Arial" w:hAnsi="Arial" w:cs="Arial"/>
        </w:rPr>
        <w:fldChar w:fldCharType="end"/>
      </w:r>
      <w:r w:rsidR="00E04332">
        <w:rPr>
          <w:rFonts w:ascii="Arial" w:hAnsi="Arial" w:cs="Arial"/>
        </w:rPr>
        <w:t xml:space="preserve"> </w:t>
      </w:r>
      <w:r>
        <w:rPr>
          <w:rFonts w:ascii="Arial" w:hAnsi="Arial" w:cs="Arial"/>
        </w:rPr>
        <w:t xml:space="preserve">on enhanced industrial IoT and URLLC support. There, all relevant groups including RAN1, RAN2 and RAN4 are listed. One motivation is the updated </w:t>
      </w:r>
      <w:r w:rsidRPr="00513A6D">
        <w:rPr>
          <w:rFonts w:ascii="Arial" w:hAnsi="Arial" w:cs="Arial"/>
        </w:rPr>
        <w:t>UE-to-UE sync requirements added</w:t>
      </w:r>
      <w:r>
        <w:rPr>
          <w:rFonts w:ascii="Arial" w:hAnsi="Arial" w:cs="Arial"/>
        </w:rPr>
        <w:t xml:space="preserve"> in TS 22.104 V17.</w:t>
      </w:r>
      <w:r w:rsidR="007F7C6F">
        <w:rPr>
          <w:rFonts w:ascii="Arial" w:hAnsi="Arial" w:cs="Arial"/>
        </w:rPr>
        <w:t>2</w:t>
      </w:r>
      <w:r>
        <w:rPr>
          <w:rFonts w:ascii="Arial" w:hAnsi="Arial" w:cs="Arial"/>
        </w:rPr>
        <w:t xml:space="preserve">.0. This means that </w:t>
      </w:r>
      <w:r w:rsidRPr="00513A6D">
        <w:rPr>
          <w:rFonts w:ascii="Arial" w:hAnsi="Arial" w:cs="Arial"/>
        </w:rPr>
        <w:t>the TSN GM clock can be on one UE, but the sync devices are on another UE</w:t>
      </w:r>
      <w:r>
        <w:rPr>
          <w:rFonts w:ascii="Arial" w:hAnsi="Arial" w:cs="Arial"/>
        </w:rPr>
        <w:t>.</w:t>
      </w:r>
      <w:r w:rsidRPr="00513A6D">
        <w:rPr>
          <w:rFonts w:ascii="Arial" w:hAnsi="Arial" w:cs="Arial"/>
        </w:rPr>
        <w:t xml:space="preserve"> With the assumption that one-hop air-interface inaccuracy of </w:t>
      </w:r>
      <w:r>
        <w:rPr>
          <w:rFonts w:ascii="Arial" w:hAnsi="Arial" w:cs="Arial"/>
        </w:rPr>
        <w:t xml:space="preserve">x </w:t>
      </w:r>
      <w:r w:rsidRPr="00513A6D">
        <w:rPr>
          <w:rFonts w:ascii="Arial" w:hAnsi="Arial" w:cs="Arial"/>
        </w:rPr>
        <w:t xml:space="preserve">ns, the in-accuracy simply due to the air-interface </w:t>
      </w:r>
      <w:r>
        <w:rPr>
          <w:rFonts w:ascii="Arial" w:hAnsi="Arial" w:cs="Arial"/>
        </w:rPr>
        <w:t xml:space="preserve">would be double of that, i.e., </w:t>
      </w:r>
      <w:r w:rsidRPr="00513A6D">
        <w:rPr>
          <w:rFonts w:ascii="Arial" w:hAnsi="Arial" w:cs="Arial"/>
        </w:rPr>
        <w:t>2*</w:t>
      </w:r>
      <w:r>
        <w:rPr>
          <w:rFonts w:ascii="Arial" w:hAnsi="Arial" w:cs="Arial"/>
        </w:rPr>
        <w:t xml:space="preserve">x </w:t>
      </w:r>
      <w:r w:rsidRPr="00513A6D">
        <w:rPr>
          <w:rFonts w:ascii="Arial" w:hAnsi="Arial" w:cs="Arial"/>
        </w:rPr>
        <w:t>ns</w:t>
      </w:r>
      <w:r>
        <w:rPr>
          <w:rFonts w:ascii="Arial" w:hAnsi="Arial" w:cs="Arial"/>
        </w:rPr>
        <w:t>.</w:t>
      </w:r>
    </w:p>
    <w:p w14:paraId="00B4631E" w14:textId="2281A899" w:rsidR="00FE4E6A" w:rsidRPr="00AE6788" w:rsidRDefault="00570CAE" w:rsidP="00FE4E6A">
      <w:pPr>
        <w:pStyle w:val="Observation"/>
      </w:pPr>
      <w:bookmarkStart w:id="9" w:name="_Toc32484370"/>
      <w:r>
        <w:rPr>
          <w:rFonts w:cs="Arial"/>
        </w:rPr>
        <w:t>All</w:t>
      </w:r>
      <w:r w:rsidR="00FE4E6A">
        <w:rPr>
          <w:rFonts w:cs="Arial"/>
        </w:rPr>
        <w:t xml:space="preserve"> </w:t>
      </w:r>
      <w:r>
        <w:rPr>
          <w:rFonts w:cs="Arial"/>
        </w:rPr>
        <w:t xml:space="preserve">necessary </w:t>
      </w:r>
      <w:r w:rsidR="00FE4E6A">
        <w:rPr>
          <w:rFonts w:cs="Arial"/>
        </w:rPr>
        <w:t xml:space="preserve">enhancements for propagation delay compensation are </w:t>
      </w:r>
      <w:r w:rsidR="00FB2DF6">
        <w:rPr>
          <w:rFonts w:cs="Arial"/>
        </w:rPr>
        <w:t xml:space="preserve">to be </w:t>
      </w:r>
      <w:r w:rsidR="00FE4E6A">
        <w:rPr>
          <w:rFonts w:cs="Arial"/>
        </w:rPr>
        <w:t>include</w:t>
      </w:r>
      <w:r w:rsidR="00E06BFB">
        <w:rPr>
          <w:rFonts w:cs="Arial"/>
        </w:rPr>
        <w:t>d</w:t>
      </w:r>
      <w:r w:rsidR="00FE4E6A">
        <w:rPr>
          <w:rFonts w:cs="Arial"/>
        </w:rPr>
        <w:t xml:space="preserve"> in Rel-17</w:t>
      </w:r>
      <w:r w:rsidR="00FE4E6A" w:rsidRPr="00AE6788">
        <w:t>.</w:t>
      </w:r>
      <w:bookmarkEnd w:id="9"/>
    </w:p>
    <w:p w14:paraId="7A52406D" w14:textId="00462300" w:rsidR="00EF0E40" w:rsidRDefault="00E942C7" w:rsidP="00AE6788">
      <w:pPr>
        <w:rPr>
          <w:rFonts w:ascii="Arial" w:hAnsi="Arial" w:cs="Arial"/>
        </w:rPr>
      </w:pPr>
      <w:r>
        <w:rPr>
          <w:rFonts w:ascii="Arial" w:hAnsi="Arial" w:cs="Arial"/>
        </w:rPr>
        <w:t xml:space="preserve">It is not clear </w:t>
      </w:r>
      <w:r w:rsidR="00187FCD">
        <w:rPr>
          <w:rFonts w:ascii="Arial" w:hAnsi="Arial" w:cs="Arial"/>
        </w:rPr>
        <w:t xml:space="preserve">what </w:t>
      </w:r>
      <w:r>
        <w:rPr>
          <w:rFonts w:ascii="Arial" w:hAnsi="Arial" w:cs="Arial"/>
        </w:rPr>
        <w:t xml:space="preserve">the </w:t>
      </w:r>
      <w:r w:rsidR="00187FCD">
        <w:rPr>
          <w:rFonts w:ascii="Arial" w:hAnsi="Arial" w:cs="Arial"/>
        </w:rPr>
        <w:t>R</w:t>
      </w:r>
      <w:r>
        <w:rPr>
          <w:rFonts w:ascii="Arial" w:hAnsi="Arial" w:cs="Arial"/>
        </w:rPr>
        <w:t xml:space="preserve">el-17 enhancements would be, since it can be based on either TA-method with finer granularity or </w:t>
      </w:r>
      <w:r w:rsidR="00187FCD">
        <w:rPr>
          <w:rFonts w:ascii="Arial" w:hAnsi="Arial" w:cs="Arial"/>
        </w:rPr>
        <w:t xml:space="preserve">a clean-slate design. At this moment in the end of the Rel-16 work, it is pre-mature to design any signalling support for delay compensation. More importantly, if proposal </w:t>
      </w:r>
      <w:r w:rsidR="001B4DC3">
        <w:rPr>
          <w:rFonts w:ascii="Arial" w:hAnsi="Arial" w:cs="Arial"/>
        </w:rPr>
        <w:t>1 and proposal 2</w:t>
      </w:r>
      <w:r w:rsidR="00187FCD">
        <w:rPr>
          <w:rFonts w:ascii="Arial" w:hAnsi="Arial" w:cs="Arial"/>
        </w:rPr>
        <w:t xml:space="preserve"> would be agreed without any specification on how UE performs the propagation delay compensation, it is not clear </w:t>
      </w:r>
      <w:r w:rsidR="008D473B">
        <w:rPr>
          <w:rFonts w:ascii="Arial" w:hAnsi="Arial" w:cs="Arial"/>
        </w:rPr>
        <w:t xml:space="preserve">from the network point of view </w:t>
      </w:r>
      <w:r w:rsidR="00214AD9">
        <w:rPr>
          <w:rFonts w:ascii="Arial" w:hAnsi="Arial" w:cs="Arial"/>
        </w:rPr>
        <w:t xml:space="preserve">what </w:t>
      </w:r>
      <w:r w:rsidR="008D473B">
        <w:rPr>
          <w:rFonts w:ascii="Arial" w:hAnsi="Arial" w:cs="Arial"/>
        </w:rPr>
        <w:t>the benefits of such signalling</w:t>
      </w:r>
      <w:r w:rsidR="00214AD9">
        <w:rPr>
          <w:rFonts w:ascii="Arial" w:hAnsi="Arial" w:cs="Arial"/>
        </w:rPr>
        <w:t xml:space="preserve"> would be</w:t>
      </w:r>
      <w:r w:rsidR="008D473B">
        <w:rPr>
          <w:rFonts w:ascii="Arial" w:hAnsi="Arial" w:cs="Arial"/>
        </w:rPr>
        <w:t>. On the other hand, we believe that the signalling support is needed once the mechanisms for downlink propagation delay compensation is clear. Thus, we propose that</w:t>
      </w:r>
    </w:p>
    <w:p w14:paraId="181CB621" w14:textId="7363199F" w:rsidR="008D473B" w:rsidRDefault="008D473B" w:rsidP="008D473B">
      <w:pPr>
        <w:pStyle w:val="Proposal"/>
      </w:pPr>
      <w:bookmarkStart w:id="10" w:name="_Toc32484367"/>
      <w:r>
        <w:t xml:space="preserve">RAN2 signalling support for </w:t>
      </w:r>
      <w:r w:rsidRPr="007A5001">
        <w:t>propagation delay compensation</w:t>
      </w:r>
      <w:r>
        <w:t xml:space="preserve"> is not needed in Rel-16 and </w:t>
      </w:r>
      <w:r w:rsidR="001B7D4E">
        <w:t>should</w:t>
      </w:r>
      <w:r>
        <w:t xml:space="preserve"> be considered in Rel-17</w:t>
      </w:r>
      <w:r w:rsidRPr="007A5001">
        <w:t>.</w:t>
      </w:r>
      <w:bookmarkEnd w:id="10"/>
    </w:p>
    <w:p w14:paraId="3BDAF09B" w14:textId="1D2AEDC5" w:rsidR="008B47C3" w:rsidRDefault="008B47C3" w:rsidP="008B47C3">
      <w:pPr>
        <w:pStyle w:val="Proposal"/>
        <w:numPr>
          <w:ilvl w:val="0"/>
          <w:numId w:val="0"/>
        </w:numPr>
        <w:ind w:left="1304" w:hanging="1304"/>
      </w:pPr>
    </w:p>
    <w:p w14:paraId="5DB81EFF" w14:textId="3E21C8E2" w:rsidR="008B47C3" w:rsidRPr="00AE6788" w:rsidRDefault="008B47C3" w:rsidP="008B47C3">
      <w:pPr>
        <w:spacing w:after="120"/>
        <w:jc w:val="both"/>
        <w:rPr>
          <w:rFonts w:ascii="Arial" w:hAnsi="Arial"/>
          <w:color w:val="FF0000"/>
          <w:lang w:val="en-US" w:eastAsia="zh-CN"/>
        </w:rPr>
      </w:pPr>
      <w:r w:rsidRPr="00AE6788">
        <w:rPr>
          <w:rFonts w:ascii="Arial" w:hAnsi="Arial"/>
          <w:lang w:eastAsia="zh-CN"/>
        </w:rPr>
        <w:t xml:space="preserve">There are some </w:t>
      </w:r>
      <w:r w:rsidR="00422C5B">
        <w:rPr>
          <w:rFonts w:ascii="Arial" w:hAnsi="Arial"/>
          <w:lang w:eastAsia="zh-CN"/>
        </w:rPr>
        <w:t xml:space="preserve">other </w:t>
      </w:r>
      <w:r w:rsidRPr="00AE6788">
        <w:rPr>
          <w:rFonts w:ascii="Arial" w:hAnsi="Arial"/>
          <w:lang w:eastAsia="zh-CN"/>
        </w:rPr>
        <w:t>proposals that gNB can pre-compensate the propagation delay</w:t>
      </w:r>
      <w:r w:rsidR="003F7BB6">
        <w:rPr>
          <w:rFonts w:ascii="Arial" w:hAnsi="Arial"/>
          <w:lang w:eastAsia="zh-CN"/>
        </w:rPr>
        <w:t xml:space="preserve"> when transmitting the reference time information</w:t>
      </w:r>
      <w:r w:rsidRPr="00AE6788">
        <w:rPr>
          <w:rFonts w:ascii="Arial" w:hAnsi="Arial"/>
          <w:lang w:eastAsia="zh-CN"/>
        </w:rPr>
        <w:t>. However, we believe for SIB message, a pre-compensated value does not work since it is a network centric value which should apply to any UE, and if the network were to compensate for a UE being, say, 10 TA-steps away from the gNB, then the value wouldn’t apply to a UE very close to the gNB. If there should be any TA-compensation</w:t>
      </w:r>
      <w:r w:rsidR="00422C5B">
        <w:rPr>
          <w:rFonts w:ascii="Arial" w:hAnsi="Arial"/>
          <w:lang w:eastAsia="zh-CN"/>
        </w:rPr>
        <w:t xml:space="preserve"> </w:t>
      </w:r>
      <w:r w:rsidR="005F1FB2">
        <w:rPr>
          <w:rFonts w:ascii="Arial" w:hAnsi="Arial"/>
          <w:lang w:eastAsia="zh-CN"/>
        </w:rPr>
        <w:t xml:space="preserve">when the reference time is delivered by </w:t>
      </w:r>
      <w:r w:rsidR="00422C5B">
        <w:rPr>
          <w:rFonts w:ascii="Arial" w:hAnsi="Arial"/>
          <w:lang w:eastAsia="zh-CN"/>
        </w:rPr>
        <w:t>SIB message</w:t>
      </w:r>
      <w:r w:rsidRPr="00AE6788">
        <w:rPr>
          <w:rFonts w:ascii="Arial" w:hAnsi="Arial"/>
          <w:lang w:eastAsia="zh-CN"/>
        </w:rPr>
        <w:t xml:space="preserve">, such compensation must be done at the UE. In other words, there is a need that the indicated reference time is information established by the network and refers to a specific point in the transmitted sequence of SFNs. </w:t>
      </w:r>
      <w:r w:rsidRPr="00AE6788">
        <w:rPr>
          <w:rFonts w:ascii="Arial" w:hAnsi="Arial"/>
          <w:lang w:val="en-US" w:eastAsia="zh-CN"/>
        </w:rPr>
        <w:t>In LTE, it is specified that t</w:t>
      </w:r>
      <w:r w:rsidRPr="00AE6788">
        <w:rPr>
          <w:rFonts w:ascii="Arial" w:hAnsi="Arial"/>
          <w:lang w:eastAsia="zh-CN"/>
        </w:rPr>
        <w:t>he indicated reference time is referenced at the network, i.e., without compensating for RF propagation delay.</w:t>
      </w:r>
      <w:r>
        <w:rPr>
          <w:rFonts w:ascii="Arial" w:hAnsi="Arial"/>
          <w:lang w:eastAsia="zh-CN"/>
        </w:rPr>
        <w:t xml:space="preserve"> </w:t>
      </w:r>
      <w:r w:rsidRPr="00AE6788">
        <w:rPr>
          <w:rFonts w:ascii="Arial" w:hAnsi="Arial"/>
          <w:lang w:eastAsia="zh-CN"/>
        </w:rPr>
        <w:t xml:space="preserve">Thus, we propose as baseline </w:t>
      </w:r>
    </w:p>
    <w:p w14:paraId="7B8A0130" w14:textId="0C085504" w:rsidR="008B47C3" w:rsidRPr="00AE6788" w:rsidRDefault="008B47C3" w:rsidP="008B47C3">
      <w:pPr>
        <w:pStyle w:val="Proposal"/>
        <w:tabs>
          <w:tab w:val="clear" w:pos="1304"/>
        </w:tabs>
        <w:ind w:left="1701" w:hanging="1701"/>
      </w:pPr>
      <w:bookmarkStart w:id="11" w:name="_Toc20729436"/>
      <w:bookmarkStart w:id="12" w:name="_Toc23959664"/>
      <w:bookmarkStart w:id="13" w:name="_Toc32484368"/>
      <w:r>
        <w:t>A</w:t>
      </w:r>
      <w:r w:rsidRPr="00AE6788">
        <w:t>s in LTE, the indicated reference time is referenced at the network, i.e., without compensating RF propagation delay.</w:t>
      </w:r>
      <w:bookmarkEnd w:id="11"/>
      <w:bookmarkEnd w:id="12"/>
      <w:bookmarkEnd w:id="13"/>
    </w:p>
    <w:p w14:paraId="7FFAC03E" w14:textId="77777777" w:rsidR="00C01F33" w:rsidRPr="00CE0424" w:rsidRDefault="00EC4447" w:rsidP="00CE0424">
      <w:pPr>
        <w:pStyle w:val="Heading1"/>
      </w:pPr>
      <w:r>
        <w:t>4</w:t>
      </w:r>
      <w:r>
        <w:tab/>
      </w:r>
      <w:r w:rsidR="00C01F33" w:rsidRPr="00CE0424">
        <w:t>Conclusion</w:t>
      </w:r>
    </w:p>
    <w:p w14:paraId="51ADFB24"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C25E701" w14:textId="79C84451" w:rsidR="00441BBE" w:rsidRDefault="006F6582">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32484369" w:history="1">
        <w:r w:rsidR="00441BBE" w:rsidRPr="00EF45F0">
          <w:rPr>
            <w:rStyle w:val="Hyperlink"/>
            <w:noProof/>
          </w:rPr>
          <w:t>Observation 1</w:t>
        </w:r>
        <w:r w:rsidR="00441BBE">
          <w:rPr>
            <w:rFonts w:asciiTheme="minorHAnsi" w:eastAsiaTheme="minorEastAsia" w:hAnsiTheme="minorHAnsi" w:cstheme="minorBidi"/>
            <w:b w:val="0"/>
            <w:noProof/>
            <w:sz w:val="22"/>
            <w:szCs w:val="22"/>
          </w:rPr>
          <w:tab/>
        </w:r>
        <w:r w:rsidR="00441BBE" w:rsidRPr="00EF45F0">
          <w:rPr>
            <w:rStyle w:val="Hyperlink"/>
            <w:noProof/>
          </w:rPr>
          <w:t>To fulfil the updated Rel-16 SA1 requirement, there might be a need to study downlink delay compensation enhancement beyond current TA-based methods.</w:t>
        </w:r>
      </w:hyperlink>
    </w:p>
    <w:p w14:paraId="151BDB05" w14:textId="608B8872" w:rsidR="00441BBE" w:rsidRDefault="001F02FC">
      <w:pPr>
        <w:pStyle w:val="TableofFigures"/>
        <w:tabs>
          <w:tab w:val="right" w:leader="dot" w:pos="9629"/>
        </w:tabs>
        <w:rPr>
          <w:rFonts w:asciiTheme="minorHAnsi" w:eastAsiaTheme="minorEastAsia" w:hAnsiTheme="minorHAnsi" w:cstheme="minorBidi"/>
          <w:b w:val="0"/>
          <w:noProof/>
          <w:sz w:val="22"/>
          <w:szCs w:val="22"/>
        </w:rPr>
      </w:pPr>
      <w:hyperlink w:anchor="_Toc32484370" w:history="1">
        <w:r w:rsidR="00441BBE" w:rsidRPr="00EF45F0">
          <w:rPr>
            <w:rStyle w:val="Hyperlink"/>
            <w:noProof/>
          </w:rPr>
          <w:t>Observation 2</w:t>
        </w:r>
        <w:r w:rsidR="00441BBE">
          <w:rPr>
            <w:rFonts w:asciiTheme="minorHAnsi" w:eastAsiaTheme="minorEastAsia" w:hAnsiTheme="minorHAnsi" w:cstheme="minorBidi"/>
            <w:b w:val="0"/>
            <w:noProof/>
            <w:sz w:val="22"/>
            <w:szCs w:val="22"/>
          </w:rPr>
          <w:tab/>
        </w:r>
        <w:r w:rsidR="00441BBE" w:rsidRPr="00EF45F0">
          <w:rPr>
            <w:rStyle w:val="Hyperlink"/>
            <w:rFonts w:cs="Arial"/>
            <w:noProof/>
          </w:rPr>
          <w:t>All necessary enhancements for propagation delay compensation are to be included in Rel-17</w:t>
        </w:r>
        <w:r w:rsidR="00441BBE" w:rsidRPr="00EF45F0">
          <w:rPr>
            <w:rStyle w:val="Hyperlink"/>
            <w:noProof/>
          </w:rPr>
          <w:t>.</w:t>
        </w:r>
      </w:hyperlink>
    </w:p>
    <w:p w14:paraId="1A993A14" w14:textId="7C4347C9"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745208B1" w14:textId="467EB6A5" w:rsidR="00441BBE"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2484366" w:history="1">
        <w:r w:rsidR="00441BBE" w:rsidRPr="00274E4E">
          <w:rPr>
            <w:rStyle w:val="Hyperlink"/>
            <w:noProof/>
          </w:rPr>
          <w:t>Proposal 1</w:t>
        </w:r>
        <w:r w:rsidR="00441BBE">
          <w:rPr>
            <w:rFonts w:asciiTheme="minorHAnsi" w:eastAsiaTheme="minorEastAsia" w:hAnsiTheme="minorHAnsi" w:cstheme="minorBidi"/>
            <w:b w:val="0"/>
            <w:noProof/>
            <w:sz w:val="22"/>
            <w:szCs w:val="22"/>
          </w:rPr>
          <w:tab/>
        </w:r>
        <w:r w:rsidR="00441BBE" w:rsidRPr="00274E4E">
          <w:rPr>
            <w:rStyle w:val="Hyperlink"/>
            <w:noProof/>
          </w:rPr>
          <w:t>As in LTE, in NR Rel-16, R2 assume that UE may perform propagation delay compensation, but we don’t specify how the UE perform propagation delay compensation.</w:t>
        </w:r>
      </w:hyperlink>
    </w:p>
    <w:p w14:paraId="0A246C7C" w14:textId="3C21EFF5" w:rsidR="00441BBE" w:rsidRDefault="001F02FC">
      <w:pPr>
        <w:pStyle w:val="TableofFigures"/>
        <w:tabs>
          <w:tab w:val="right" w:leader="dot" w:pos="9629"/>
        </w:tabs>
        <w:rPr>
          <w:rFonts w:asciiTheme="minorHAnsi" w:eastAsiaTheme="minorEastAsia" w:hAnsiTheme="minorHAnsi" w:cstheme="minorBidi"/>
          <w:b w:val="0"/>
          <w:noProof/>
          <w:sz w:val="22"/>
          <w:szCs w:val="22"/>
        </w:rPr>
      </w:pPr>
      <w:hyperlink w:anchor="_Toc32484367" w:history="1">
        <w:r w:rsidR="00441BBE" w:rsidRPr="00274E4E">
          <w:rPr>
            <w:rStyle w:val="Hyperlink"/>
            <w:noProof/>
          </w:rPr>
          <w:t>Proposal 2</w:t>
        </w:r>
        <w:r w:rsidR="00441BBE">
          <w:rPr>
            <w:rFonts w:asciiTheme="minorHAnsi" w:eastAsiaTheme="minorEastAsia" w:hAnsiTheme="minorHAnsi" w:cstheme="minorBidi"/>
            <w:b w:val="0"/>
            <w:noProof/>
            <w:sz w:val="22"/>
            <w:szCs w:val="22"/>
          </w:rPr>
          <w:tab/>
        </w:r>
        <w:r w:rsidR="00441BBE" w:rsidRPr="00274E4E">
          <w:rPr>
            <w:rStyle w:val="Hyperlink"/>
            <w:noProof/>
          </w:rPr>
          <w:t>RAN2 signalling support for propagation delay compensation is not needed in Rel-16 and should be considered in Rel-17.</w:t>
        </w:r>
      </w:hyperlink>
    </w:p>
    <w:p w14:paraId="32628007" w14:textId="6BDFD010" w:rsidR="00441BBE" w:rsidRDefault="001F02FC">
      <w:pPr>
        <w:pStyle w:val="TableofFigures"/>
        <w:tabs>
          <w:tab w:val="right" w:leader="dot" w:pos="9629"/>
        </w:tabs>
        <w:rPr>
          <w:rFonts w:asciiTheme="minorHAnsi" w:eastAsiaTheme="minorEastAsia" w:hAnsiTheme="minorHAnsi" w:cstheme="minorBidi"/>
          <w:b w:val="0"/>
          <w:noProof/>
          <w:sz w:val="22"/>
          <w:szCs w:val="22"/>
        </w:rPr>
      </w:pPr>
      <w:hyperlink w:anchor="_Toc32484368" w:history="1">
        <w:r w:rsidR="00441BBE" w:rsidRPr="00274E4E">
          <w:rPr>
            <w:rStyle w:val="Hyperlink"/>
            <w:noProof/>
          </w:rPr>
          <w:t>Proposal 3</w:t>
        </w:r>
        <w:r w:rsidR="00441BBE">
          <w:rPr>
            <w:rFonts w:asciiTheme="minorHAnsi" w:eastAsiaTheme="minorEastAsia" w:hAnsiTheme="minorHAnsi" w:cstheme="minorBidi"/>
            <w:b w:val="0"/>
            <w:noProof/>
            <w:sz w:val="22"/>
            <w:szCs w:val="22"/>
          </w:rPr>
          <w:tab/>
        </w:r>
        <w:r w:rsidR="00441BBE" w:rsidRPr="00274E4E">
          <w:rPr>
            <w:rStyle w:val="Hyperlink"/>
            <w:noProof/>
          </w:rPr>
          <w:t>As in LTE, the indicated reference time is referenced at the network, i.e., without compensating RF propagation delay.</w:t>
        </w:r>
      </w:hyperlink>
    </w:p>
    <w:p w14:paraId="0EFBC115" w14:textId="1B931324" w:rsidR="006E1C82" w:rsidRPr="00CE0424" w:rsidRDefault="006E1C82" w:rsidP="006E1C82">
      <w:pPr>
        <w:pStyle w:val="BodyText"/>
        <w:rPr>
          <w:b/>
          <w:bCs/>
        </w:rPr>
      </w:pPr>
      <w:r>
        <w:rPr>
          <w:b/>
          <w:bCs/>
          <w:lang w:val="en-US"/>
        </w:rPr>
        <w:fldChar w:fldCharType="end"/>
      </w:r>
      <w:bookmarkStart w:id="14" w:name="_In-sequence_SDU_delivery"/>
      <w:bookmarkEnd w:id="14"/>
    </w:p>
    <w:p w14:paraId="7B485C79" w14:textId="77777777" w:rsidR="00F507D1" w:rsidRPr="00CE0424" w:rsidRDefault="00EC4447" w:rsidP="00CE0424">
      <w:pPr>
        <w:pStyle w:val="Heading1"/>
      </w:pPr>
      <w:r>
        <w:t>5</w:t>
      </w:r>
      <w:r>
        <w:tab/>
      </w:r>
      <w:r w:rsidR="00F507D1" w:rsidRPr="00CE0424">
        <w:t>References</w:t>
      </w:r>
    </w:p>
    <w:p w14:paraId="22108731" w14:textId="108AB6C9" w:rsidR="005F3025" w:rsidRPr="00CE0424" w:rsidRDefault="00A61290" w:rsidP="00311702">
      <w:pPr>
        <w:pStyle w:val="Reference"/>
      </w:pPr>
      <w:bookmarkStart w:id="15" w:name="_Ref28854711"/>
      <w:bookmarkStart w:id="16" w:name="_Ref174151459"/>
      <w:bookmarkStart w:id="17" w:name="_Ref189809556"/>
      <w:r>
        <w:rPr>
          <w:noProof/>
        </w:rPr>
        <w:t>S1-193619, Clarification of clock synchronicity requirements, SA</w:t>
      </w:r>
      <w:r w:rsidR="00D263D5">
        <w:rPr>
          <w:noProof/>
        </w:rPr>
        <w:t>1#88.</w:t>
      </w:r>
      <w:bookmarkEnd w:id="15"/>
      <w:r w:rsidR="00D263D5" w:rsidRPr="00CE0424">
        <w:t xml:space="preserve"> </w:t>
      </w:r>
    </w:p>
    <w:bookmarkStart w:id="18" w:name="_Ref28854809"/>
    <w:p w14:paraId="1BD0B7FA" w14:textId="19367BA0" w:rsidR="003A7EF3" w:rsidRPr="00CE0424" w:rsidRDefault="00B62F2E" w:rsidP="00CE0424">
      <w:pPr>
        <w:pStyle w:val="Reference"/>
      </w:pPr>
      <w:r>
        <w:rPr>
          <w:rFonts w:cs="Arial"/>
        </w:rPr>
        <w:fldChar w:fldCharType="begin"/>
      </w:r>
      <w:r>
        <w:rPr>
          <w:rFonts w:cs="Arial"/>
        </w:rPr>
        <w:instrText xml:space="preserve"> HYPERLINK "http://www.3gpp.org/ftp/tsg_ran/TSG_RAN//TSGR_86/Docs//RP-193233.zip" </w:instrText>
      </w:r>
      <w:r>
        <w:rPr>
          <w:rFonts w:cs="Arial"/>
        </w:rPr>
        <w:fldChar w:fldCharType="separate"/>
      </w:r>
      <w:r w:rsidR="00EB7EEC" w:rsidRPr="00B62F2E">
        <w:rPr>
          <w:rStyle w:val="Hyperlink"/>
          <w:rFonts w:cs="Arial"/>
        </w:rPr>
        <w:t>RP-193233</w:t>
      </w:r>
      <w:r>
        <w:rPr>
          <w:rFonts w:cs="Arial"/>
        </w:rPr>
        <w:fldChar w:fldCharType="end"/>
      </w:r>
      <w:r w:rsidR="00EB7EEC">
        <w:rPr>
          <w:rFonts w:cs="Arial"/>
        </w:rPr>
        <w:t xml:space="preserve">, </w:t>
      </w:r>
      <w:r w:rsidR="00250C35" w:rsidRPr="00250C35">
        <w:rPr>
          <w:rFonts w:cs="Arial"/>
        </w:rPr>
        <w:t>New WID on enhanced Industrial Internet of Things (IoT) and URLLC support</w:t>
      </w:r>
      <w:bookmarkEnd w:id="16"/>
      <w:bookmarkEnd w:id="17"/>
      <w:bookmarkEnd w:id="18"/>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E09BB" w14:textId="77777777" w:rsidR="00BA6893" w:rsidRDefault="00BA6893">
      <w:r>
        <w:separator/>
      </w:r>
    </w:p>
  </w:endnote>
  <w:endnote w:type="continuationSeparator" w:id="0">
    <w:p w14:paraId="1BEC5270" w14:textId="77777777" w:rsidR="00BA6893" w:rsidRDefault="00BA6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55A1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BF634" w14:textId="77777777" w:rsidR="00BA6893" w:rsidRDefault="00BA6893">
      <w:r>
        <w:separator/>
      </w:r>
    </w:p>
  </w:footnote>
  <w:footnote w:type="continuationSeparator" w:id="0">
    <w:p w14:paraId="6BC8C979" w14:textId="77777777" w:rsidR="00BA6893" w:rsidRDefault="00BA6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7414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0A6F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08D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6608E4"/>
    <w:multiLevelType w:val="hybridMultilevel"/>
    <w:tmpl w:val="73C847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9C4711"/>
    <w:multiLevelType w:val="hybridMultilevel"/>
    <w:tmpl w:val="14AEDEC4"/>
    <w:lvl w:ilvl="0" w:tplc="C82E0CF8">
      <w:start w:val="1"/>
      <w:numFmt w:val="bullet"/>
      <w:lvlText w:val="—"/>
      <w:lvlJc w:val="left"/>
      <w:pPr>
        <w:tabs>
          <w:tab w:val="num" w:pos="360"/>
        </w:tabs>
        <w:ind w:left="360" w:hanging="360"/>
      </w:pPr>
      <w:rPr>
        <w:rFonts w:ascii="Ericsson Hilda Light" w:hAnsi="Ericsson Hilda Light" w:hint="default"/>
      </w:rPr>
    </w:lvl>
    <w:lvl w:ilvl="1" w:tplc="C964B76A">
      <w:start w:val="1"/>
      <w:numFmt w:val="bullet"/>
      <w:lvlText w:val="—"/>
      <w:lvlJc w:val="left"/>
      <w:pPr>
        <w:tabs>
          <w:tab w:val="num" w:pos="1080"/>
        </w:tabs>
        <w:ind w:left="1080" w:hanging="360"/>
      </w:pPr>
      <w:rPr>
        <w:rFonts w:ascii="Ericsson Hilda Light" w:hAnsi="Ericsson Hilda Light" w:hint="default"/>
      </w:rPr>
    </w:lvl>
    <w:lvl w:ilvl="2" w:tplc="1264F662">
      <w:start w:val="2524"/>
      <w:numFmt w:val="bullet"/>
      <w:lvlText w:val="—"/>
      <w:lvlJc w:val="left"/>
      <w:pPr>
        <w:tabs>
          <w:tab w:val="num" w:pos="1800"/>
        </w:tabs>
        <w:ind w:left="1800" w:hanging="360"/>
      </w:pPr>
      <w:rPr>
        <w:rFonts w:ascii="Ericsson Hilda Light" w:hAnsi="Ericsson Hilda Light" w:hint="default"/>
      </w:rPr>
    </w:lvl>
    <w:lvl w:ilvl="3" w:tplc="C8946732" w:tentative="1">
      <w:start w:val="1"/>
      <w:numFmt w:val="bullet"/>
      <w:lvlText w:val="—"/>
      <w:lvlJc w:val="left"/>
      <w:pPr>
        <w:tabs>
          <w:tab w:val="num" w:pos="2520"/>
        </w:tabs>
        <w:ind w:left="2520" w:hanging="360"/>
      </w:pPr>
      <w:rPr>
        <w:rFonts w:ascii="Ericsson Hilda Light" w:hAnsi="Ericsson Hilda Light" w:hint="default"/>
      </w:rPr>
    </w:lvl>
    <w:lvl w:ilvl="4" w:tplc="4238B64C" w:tentative="1">
      <w:start w:val="1"/>
      <w:numFmt w:val="bullet"/>
      <w:lvlText w:val="—"/>
      <w:lvlJc w:val="left"/>
      <w:pPr>
        <w:tabs>
          <w:tab w:val="num" w:pos="3240"/>
        </w:tabs>
        <w:ind w:left="3240" w:hanging="360"/>
      </w:pPr>
      <w:rPr>
        <w:rFonts w:ascii="Ericsson Hilda Light" w:hAnsi="Ericsson Hilda Light" w:hint="default"/>
      </w:rPr>
    </w:lvl>
    <w:lvl w:ilvl="5" w:tplc="FAB230E8" w:tentative="1">
      <w:start w:val="1"/>
      <w:numFmt w:val="bullet"/>
      <w:lvlText w:val="—"/>
      <w:lvlJc w:val="left"/>
      <w:pPr>
        <w:tabs>
          <w:tab w:val="num" w:pos="3960"/>
        </w:tabs>
        <w:ind w:left="3960" w:hanging="360"/>
      </w:pPr>
      <w:rPr>
        <w:rFonts w:ascii="Ericsson Hilda Light" w:hAnsi="Ericsson Hilda Light" w:hint="default"/>
      </w:rPr>
    </w:lvl>
    <w:lvl w:ilvl="6" w:tplc="B7F818BC" w:tentative="1">
      <w:start w:val="1"/>
      <w:numFmt w:val="bullet"/>
      <w:lvlText w:val="—"/>
      <w:lvlJc w:val="left"/>
      <w:pPr>
        <w:tabs>
          <w:tab w:val="num" w:pos="4680"/>
        </w:tabs>
        <w:ind w:left="4680" w:hanging="360"/>
      </w:pPr>
      <w:rPr>
        <w:rFonts w:ascii="Ericsson Hilda Light" w:hAnsi="Ericsson Hilda Light" w:hint="default"/>
      </w:rPr>
    </w:lvl>
    <w:lvl w:ilvl="7" w:tplc="5D1090E0" w:tentative="1">
      <w:start w:val="1"/>
      <w:numFmt w:val="bullet"/>
      <w:lvlText w:val="—"/>
      <w:lvlJc w:val="left"/>
      <w:pPr>
        <w:tabs>
          <w:tab w:val="num" w:pos="5400"/>
        </w:tabs>
        <w:ind w:left="5400" w:hanging="360"/>
      </w:pPr>
      <w:rPr>
        <w:rFonts w:ascii="Ericsson Hilda Light" w:hAnsi="Ericsson Hilda Light" w:hint="default"/>
      </w:rPr>
    </w:lvl>
    <w:lvl w:ilvl="8" w:tplc="60CE27C6" w:tentative="1">
      <w:start w:val="1"/>
      <w:numFmt w:val="bullet"/>
      <w:lvlText w:val="—"/>
      <w:lvlJc w:val="left"/>
      <w:pPr>
        <w:tabs>
          <w:tab w:val="num" w:pos="6120"/>
        </w:tabs>
        <w:ind w:left="6120" w:hanging="360"/>
      </w:pPr>
      <w:rPr>
        <w:rFonts w:ascii="Ericsson Hilda Light" w:hAnsi="Ericsson Hilda Light"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F8DA528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5"/>
  </w:num>
  <w:num w:numId="18">
    <w:abstractNumId w:val="7"/>
  </w:num>
  <w:num w:numId="19">
    <w:abstractNumId w:val="4"/>
  </w:num>
  <w:num w:numId="20">
    <w:abstractNumId w:val="24"/>
  </w:num>
  <w:num w:numId="21">
    <w:abstractNumId w:val="11"/>
  </w:num>
  <w:num w:numId="22">
    <w:abstractNumId w:val="22"/>
  </w:num>
  <w:num w:numId="23">
    <w:abstractNumId w:val="23"/>
  </w:num>
  <w:num w:numId="24">
    <w:abstractNumId w:val="6"/>
  </w:num>
  <w:num w:numId="25">
    <w:abstractNumId w:val="16"/>
  </w:num>
  <w:num w:numId="26">
    <w:abstractNumId w:val="12"/>
  </w:num>
  <w:num w:numId="2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2A37"/>
    <w:rsid w:val="0000564C"/>
    <w:rsid w:val="00006446"/>
    <w:rsid w:val="00006896"/>
    <w:rsid w:val="00007CDC"/>
    <w:rsid w:val="00010D13"/>
    <w:rsid w:val="00011B28"/>
    <w:rsid w:val="00015D15"/>
    <w:rsid w:val="00022A90"/>
    <w:rsid w:val="0002564D"/>
    <w:rsid w:val="00025ECA"/>
    <w:rsid w:val="000325B8"/>
    <w:rsid w:val="00034C15"/>
    <w:rsid w:val="00036BA1"/>
    <w:rsid w:val="000422E2"/>
    <w:rsid w:val="00042F22"/>
    <w:rsid w:val="000444EF"/>
    <w:rsid w:val="00052A07"/>
    <w:rsid w:val="00053309"/>
    <w:rsid w:val="000534E3"/>
    <w:rsid w:val="0005606A"/>
    <w:rsid w:val="00057117"/>
    <w:rsid w:val="000616E7"/>
    <w:rsid w:val="0006487E"/>
    <w:rsid w:val="00065E1A"/>
    <w:rsid w:val="0007276C"/>
    <w:rsid w:val="00077E5F"/>
    <w:rsid w:val="0008036A"/>
    <w:rsid w:val="0008069D"/>
    <w:rsid w:val="00081AE6"/>
    <w:rsid w:val="000855EB"/>
    <w:rsid w:val="00085B52"/>
    <w:rsid w:val="000866F2"/>
    <w:rsid w:val="0009009F"/>
    <w:rsid w:val="00091557"/>
    <w:rsid w:val="000924C1"/>
    <w:rsid w:val="000924F0"/>
    <w:rsid w:val="00093474"/>
    <w:rsid w:val="0009510F"/>
    <w:rsid w:val="000A1B7B"/>
    <w:rsid w:val="000A459E"/>
    <w:rsid w:val="000A56F2"/>
    <w:rsid w:val="000A5B52"/>
    <w:rsid w:val="000A5FF8"/>
    <w:rsid w:val="000B2719"/>
    <w:rsid w:val="000B3A8F"/>
    <w:rsid w:val="000B4AB9"/>
    <w:rsid w:val="000B58C3"/>
    <w:rsid w:val="000B61E9"/>
    <w:rsid w:val="000C165A"/>
    <w:rsid w:val="000C2622"/>
    <w:rsid w:val="000C2E19"/>
    <w:rsid w:val="000C30D4"/>
    <w:rsid w:val="000D0D07"/>
    <w:rsid w:val="000D4797"/>
    <w:rsid w:val="000E0527"/>
    <w:rsid w:val="000E1E92"/>
    <w:rsid w:val="000E5A91"/>
    <w:rsid w:val="000E7E72"/>
    <w:rsid w:val="000F06D6"/>
    <w:rsid w:val="000F0EB1"/>
    <w:rsid w:val="000F1106"/>
    <w:rsid w:val="000F3BE9"/>
    <w:rsid w:val="000F3F6C"/>
    <w:rsid w:val="000F6DF3"/>
    <w:rsid w:val="001005FF"/>
    <w:rsid w:val="001062FB"/>
    <w:rsid w:val="001063E6"/>
    <w:rsid w:val="001101E8"/>
    <w:rsid w:val="00113CF4"/>
    <w:rsid w:val="001153EA"/>
    <w:rsid w:val="00115643"/>
    <w:rsid w:val="001156F1"/>
    <w:rsid w:val="00115E03"/>
    <w:rsid w:val="00116765"/>
    <w:rsid w:val="001219F5"/>
    <w:rsid w:val="00121A20"/>
    <w:rsid w:val="0012377F"/>
    <w:rsid w:val="00124314"/>
    <w:rsid w:val="00126758"/>
    <w:rsid w:val="00126B4A"/>
    <w:rsid w:val="00132581"/>
    <w:rsid w:val="00132FD0"/>
    <w:rsid w:val="001344C0"/>
    <w:rsid w:val="001346FA"/>
    <w:rsid w:val="00135252"/>
    <w:rsid w:val="00137878"/>
    <w:rsid w:val="00137AB5"/>
    <w:rsid w:val="00137F0B"/>
    <w:rsid w:val="00143F0F"/>
    <w:rsid w:val="00151E23"/>
    <w:rsid w:val="001526E0"/>
    <w:rsid w:val="001551B5"/>
    <w:rsid w:val="001659C1"/>
    <w:rsid w:val="00173A8E"/>
    <w:rsid w:val="0017502C"/>
    <w:rsid w:val="0018143F"/>
    <w:rsid w:val="00181FF8"/>
    <w:rsid w:val="0018363B"/>
    <w:rsid w:val="00187FCD"/>
    <w:rsid w:val="00190AC1"/>
    <w:rsid w:val="00192FB7"/>
    <w:rsid w:val="0019341A"/>
    <w:rsid w:val="00197DF9"/>
    <w:rsid w:val="001A1987"/>
    <w:rsid w:val="001A2564"/>
    <w:rsid w:val="001A6173"/>
    <w:rsid w:val="001A6CBA"/>
    <w:rsid w:val="001B0D97"/>
    <w:rsid w:val="001B4DC3"/>
    <w:rsid w:val="001B5A5D"/>
    <w:rsid w:val="001B7D4E"/>
    <w:rsid w:val="001C09B9"/>
    <w:rsid w:val="001C1CE5"/>
    <w:rsid w:val="001C3D2A"/>
    <w:rsid w:val="001D51BA"/>
    <w:rsid w:val="001D53E7"/>
    <w:rsid w:val="001D5558"/>
    <w:rsid w:val="001D6342"/>
    <w:rsid w:val="001D6D53"/>
    <w:rsid w:val="001D7324"/>
    <w:rsid w:val="001E58E2"/>
    <w:rsid w:val="001E7AED"/>
    <w:rsid w:val="001F02FC"/>
    <w:rsid w:val="001F3916"/>
    <w:rsid w:val="001F54C5"/>
    <w:rsid w:val="001F662C"/>
    <w:rsid w:val="001F7074"/>
    <w:rsid w:val="00200490"/>
    <w:rsid w:val="00201F3A"/>
    <w:rsid w:val="00203F96"/>
    <w:rsid w:val="002069B2"/>
    <w:rsid w:val="00207FA3"/>
    <w:rsid w:val="00213CAA"/>
    <w:rsid w:val="0021423A"/>
    <w:rsid w:val="00214AD9"/>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0C35"/>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213"/>
    <w:rsid w:val="0028280A"/>
    <w:rsid w:val="00286ACD"/>
    <w:rsid w:val="00287838"/>
    <w:rsid w:val="002907B5"/>
    <w:rsid w:val="00292EB7"/>
    <w:rsid w:val="00296227"/>
    <w:rsid w:val="00296F44"/>
    <w:rsid w:val="0029777D"/>
    <w:rsid w:val="002A055E"/>
    <w:rsid w:val="002A1D4E"/>
    <w:rsid w:val="002A2869"/>
    <w:rsid w:val="002A3B19"/>
    <w:rsid w:val="002B24D6"/>
    <w:rsid w:val="002C06AD"/>
    <w:rsid w:val="002C41E6"/>
    <w:rsid w:val="002D071A"/>
    <w:rsid w:val="002D34B2"/>
    <w:rsid w:val="002D48B0"/>
    <w:rsid w:val="002D5B37"/>
    <w:rsid w:val="002D7637"/>
    <w:rsid w:val="002E17F2"/>
    <w:rsid w:val="002E7CAE"/>
    <w:rsid w:val="002F2771"/>
    <w:rsid w:val="002F3669"/>
    <w:rsid w:val="002F37A9"/>
    <w:rsid w:val="00301CE6"/>
    <w:rsid w:val="0030256B"/>
    <w:rsid w:val="0030501F"/>
    <w:rsid w:val="00307BA1"/>
    <w:rsid w:val="00311702"/>
    <w:rsid w:val="00311897"/>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478FC"/>
    <w:rsid w:val="00357380"/>
    <w:rsid w:val="003602D9"/>
    <w:rsid w:val="003604CE"/>
    <w:rsid w:val="00365B0F"/>
    <w:rsid w:val="00367DEE"/>
    <w:rsid w:val="00370E47"/>
    <w:rsid w:val="003742AC"/>
    <w:rsid w:val="00377CE1"/>
    <w:rsid w:val="0038005A"/>
    <w:rsid w:val="00385BF0"/>
    <w:rsid w:val="003939FF"/>
    <w:rsid w:val="00394425"/>
    <w:rsid w:val="003A2223"/>
    <w:rsid w:val="003A2A0F"/>
    <w:rsid w:val="003A45A1"/>
    <w:rsid w:val="003A4C72"/>
    <w:rsid w:val="003A5B0A"/>
    <w:rsid w:val="003A6BAC"/>
    <w:rsid w:val="003A70A4"/>
    <w:rsid w:val="003A7EF3"/>
    <w:rsid w:val="003B159C"/>
    <w:rsid w:val="003B1BE8"/>
    <w:rsid w:val="003B1C23"/>
    <w:rsid w:val="003B369F"/>
    <w:rsid w:val="003B36A3"/>
    <w:rsid w:val="003B64BB"/>
    <w:rsid w:val="003B7FE5"/>
    <w:rsid w:val="003C11C8"/>
    <w:rsid w:val="003C2702"/>
    <w:rsid w:val="003C7806"/>
    <w:rsid w:val="003D109F"/>
    <w:rsid w:val="003D2478"/>
    <w:rsid w:val="003D3C45"/>
    <w:rsid w:val="003D5B1F"/>
    <w:rsid w:val="003E15FA"/>
    <w:rsid w:val="003E55E4"/>
    <w:rsid w:val="003E72F7"/>
    <w:rsid w:val="003E74E3"/>
    <w:rsid w:val="003F05C7"/>
    <w:rsid w:val="003F28D9"/>
    <w:rsid w:val="003F2CD4"/>
    <w:rsid w:val="003F31CF"/>
    <w:rsid w:val="003F382F"/>
    <w:rsid w:val="003F6BBE"/>
    <w:rsid w:val="003F77E5"/>
    <w:rsid w:val="003F7BB6"/>
    <w:rsid w:val="004000E8"/>
    <w:rsid w:val="00401C03"/>
    <w:rsid w:val="00402E2B"/>
    <w:rsid w:val="0040512B"/>
    <w:rsid w:val="00405CA5"/>
    <w:rsid w:val="00407CD3"/>
    <w:rsid w:val="00410134"/>
    <w:rsid w:val="00410B72"/>
    <w:rsid w:val="00410F18"/>
    <w:rsid w:val="0041263E"/>
    <w:rsid w:val="00413AAC"/>
    <w:rsid w:val="00413E92"/>
    <w:rsid w:val="00421105"/>
    <w:rsid w:val="00422AA4"/>
    <w:rsid w:val="00422C5B"/>
    <w:rsid w:val="00423CF5"/>
    <w:rsid w:val="004242F4"/>
    <w:rsid w:val="00427248"/>
    <w:rsid w:val="00434EF3"/>
    <w:rsid w:val="00437447"/>
    <w:rsid w:val="004401E3"/>
    <w:rsid w:val="00441A92"/>
    <w:rsid w:val="00441BBE"/>
    <w:rsid w:val="004431DC"/>
    <w:rsid w:val="00444F56"/>
    <w:rsid w:val="00446488"/>
    <w:rsid w:val="004517AA"/>
    <w:rsid w:val="00452CAC"/>
    <w:rsid w:val="00453010"/>
    <w:rsid w:val="004541ED"/>
    <w:rsid w:val="00457565"/>
    <w:rsid w:val="00457B71"/>
    <w:rsid w:val="004651F2"/>
    <w:rsid w:val="004669E2"/>
    <w:rsid w:val="00470C31"/>
    <w:rsid w:val="00471DE0"/>
    <w:rsid w:val="004734D0"/>
    <w:rsid w:val="0047556B"/>
    <w:rsid w:val="00477768"/>
    <w:rsid w:val="00492BC5"/>
    <w:rsid w:val="004961B5"/>
    <w:rsid w:val="004964F1"/>
    <w:rsid w:val="004A16BC"/>
    <w:rsid w:val="004A2B94"/>
    <w:rsid w:val="004A2D54"/>
    <w:rsid w:val="004B6F6A"/>
    <w:rsid w:val="004B7C0C"/>
    <w:rsid w:val="004C3898"/>
    <w:rsid w:val="004D36B1"/>
    <w:rsid w:val="004D7EBD"/>
    <w:rsid w:val="004E2680"/>
    <w:rsid w:val="004E28F9"/>
    <w:rsid w:val="004E462E"/>
    <w:rsid w:val="004E56DC"/>
    <w:rsid w:val="004E76F4"/>
    <w:rsid w:val="004F0B4E"/>
    <w:rsid w:val="004F0B6C"/>
    <w:rsid w:val="004F2078"/>
    <w:rsid w:val="004F2250"/>
    <w:rsid w:val="004F3C51"/>
    <w:rsid w:val="004F4DA3"/>
    <w:rsid w:val="00506557"/>
    <w:rsid w:val="0050677A"/>
    <w:rsid w:val="005108D8"/>
    <w:rsid w:val="0051108F"/>
    <w:rsid w:val="005116F9"/>
    <w:rsid w:val="00513A6D"/>
    <w:rsid w:val="005153A7"/>
    <w:rsid w:val="00520734"/>
    <w:rsid w:val="005219CF"/>
    <w:rsid w:val="00534B59"/>
    <w:rsid w:val="00536759"/>
    <w:rsid w:val="00537C62"/>
    <w:rsid w:val="00546970"/>
    <w:rsid w:val="00546E15"/>
    <w:rsid w:val="0055475F"/>
    <w:rsid w:val="00554E19"/>
    <w:rsid w:val="00557FB0"/>
    <w:rsid w:val="0056121F"/>
    <w:rsid w:val="00570CAE"/>
    <w:rsid w:val="00572505"/>
    <w:rsid w:val="00582809"/>
    <w:rsid w:val="00585CF0"/>
    <w:rsid w:val="0058798C"/>
    <w:rsid w:val="005900FA"/>
    <w:rsid w:val="005935A4"/>
    <w:rsid w:val="005948C2"/>
    <w:rsid w:val="00595291"/>
    <w:rsid w:val="00595DCA"/>
    <w:rsid w:val="0059779B"/>
    <w:rsid w:val="005A209A"/>
    <w:rsid w:val="005A662D"/>
    <w:rsid w:val="005B1409"/>
    <w:rsid w:val="005B35D7"/>
    <w:rsid w:val="005B392A"/>
    <w:rsid w:val="005B3AA3"/>
    <w:rsid w:val="005B6F83"/>
    <w:rsid w:val="005C3B27"/>
    <w:rsid w:val="005C64CA"/>
    <w:rsid w:val="005C74FB"/>
    <w:rsid w:val="005D1602"/>
    <w:rsid w:val="005E385F"/>
    <w:rsid w:val="005E4441"/>
    <w:rsid w:val="005E5B81"/>
    <w:rsid w:val="005F04C3"/>
    <w:rsid w:val="005F1FB2"/>
    <w:rsid w:val="005F2CB1"/>
    <w:rsid w:val="005F3025"/>
    <w:rsid w:val="005F5D2F"/>
    <w:rsid w:val="005F618C"/>
    <w:rsid w:val="005F70BD"/>
    <w:rsid w:val="0060283C"/>
    <w:rsid w:val="00604F14"/>
    <w:rsid w:val="00605D46"/>
    <w:rsid w:val="00611AD3"/>
    <w:rsid w:val="00611B83"/>
    <w:rsid w:val="00613257"/>
    <w:rsid w:val="00620A71"/>
    <w:rsid w:val="00620D80"/>
    <w:rsid w:val="006234A6"/>
    <w:rsid w:val="00630001"/>
    <w:rsid w:val="006311B3"/>
    <w:rsid w:val="0063284C"/>
    <w:rsid w:val="00634A41"/>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1D02"/>
    <w:rsid w:val="00683ECE"/>
    <w:rsid w:val="00686D46"/>
    <w:rsid w:val="00695FC2"/>
    <w:rsid w:val="00696949"/>
    <w:rsid w:val="00697052"/>
    <w:rsid w:val="006A46FB"/>
    <w:rsid w:val="006A5E28"/>
    <w:rsid w:val="006A697B"/>
    <w:rsid w:val="006A7AFF"/>
    <w:rsid w:val="006B1816"/>
    <w:rsid w:val="006B2099"/>
    <w:rsid w:val="006B50CF"/>
    <w:rsid w:val="006C03B8"/>
    <w:rsid w:val="006C5EC9"/>
    <w:rsid w:val="006C6059"/>
    <w:rsid w:val="006C6965"/>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0CF3"/>
    <w:rsid w:val="0070346E"/>
    <w:rsid w:val="00704EDB"/>
    <w:rsid w:val="00706101"/>
    <w:rsid w:val="00707072"/>
    <w:rsid w:val="00707D61"/>
    <w:rsid w:val="00712287"/>
    <w:rsid w:val="00712772"/>
    <w:rsid w:val="007148D3"/>
    <w:rsid w:val="00715B9A"/>
    <w:rsid w:val="00724E7F"/>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0C18"/>
    <w:rsid w:val="007925EA"/>
    <w:rsid w:val="00793CD8"/>
    <w:rsid w:val="00795C92"/>
    <w:rsid w:val="00796231"/>
    <w:rsid w:val="007A191A"/>
    <w:rsid w:val="007A1CB3"/>
    <w:rsid w:val="007A306F"/>
    <w:rsid w:val="007A43A6"/>
    <w:rsid w:val="007A5001"/>
    <w:rsid w:val="007A58A6"/>
    <w:rsid w:val="007B328F"/>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504B"/>
    <w:rsid w:val="007F7C6F"/>
    <w:rsid w:val="00803FAE"/>
    <w:rsid w:val="0080605F"/>
    <w:rsid w:val="00807786"/>
    <w:rsid w:val="00811FCB"/>
    <w:rsid w:val="008158D6"/>
    <w:rsid w:val="00817196"/>
    <w:rsid w:val="008235DB"/>
    <w:rsid w:val="00824AB4"/>
    <w:rsid w:val="00825C42"/>
    <w:rsid w:val="00825D25"/>
    <w:rsid w:val="00827D6F"/>
    <w:rsid w:val="00830393"/>
    <w:rsid w:val="008376AC"/>
    <w:rsid w:val="008444E8"/>
    <w:rsid w:val="00844E80"/>
    <w:rsid w:val="00846FE7"/>
    <w:rsid w:val="0085369F"/>
    <w:rsid w:val="00856911"/>
    <w:rsid w:val="00865FB7"/>
    <w:rsid w:val="008677FD"/>
    <w:rsid w:val="008706D4"/>
    <w:rsid w:val="00870F8A"/>
    <w:rsid w:val="008719A4"/>
    <w:rsid w:val="00871D23"/>
    <w:rsid w:val="00872302"/>
    <w:rsid w:val="008727D3"/>
    <w:rsid w:val="00872AC9"/>
    <w:rsid w:val="00874312"/>
    <w:rsid w:val="0087437C"/>
    <w:rsid w:val="00875CD7"/>
    <w:rsid w:val="00876B4D"/>
    <w:rsid w:val="00877C89"/>
    <w:rsid w:val="00877F18"/>
    <w:rsid w:val="00890C9F"/>
    <w:rsid w:val="008941E3"/>
    <w:rsid w:val="00894397"/>
    <w:rsid w:val="00894A88"/>
    <w:rsid w:val="00895386"/>
    <w:rsid w:val="008A21FF"/>
    <w:rsid w:val="008A2CE2"/>
    <w:rsid w:val="008A30AC"/>
    <w:rsid w:val="008A44B8"/>
    <w:rsid w:val="008A51A8"/>
    <w:rsid w:val="008A54C7"/>
    <w:rsid w:val="008A77D8"/>
    <w:rsid w:val="008B0483"/>
    <w:rsid w:val="008B120C"/>
    <w:rsid w:val="008B47C3"/>
    <w:rsid w:val="008B51A0"/>
    <w:rsid w:val="008B592A"/>
    <w:rsid w:val="008B7B5C"/>
    <w:rsid w:val="008C0C99"/>
    <w:rsid w:val="008C2017"/>
    <w:rsid w:val="008C4958"/>
    <w:rsid w:val="008C4BAA"/>
    <w:rsid w:val="008C6AE8"/>
    <w:rsid w:val="008C7573"/>
    <w:rsid w:val="008D00A5"/>
    <w:rsid w:val="008D0850"/>
    <w:rsid w:val="008D34F1"/>
    <w:rsid w:val="008D39D8"/>
    <w:rsid w:val="008D473B"/>
    <w:rsid w:val="008D6D1A"/>
    <w:rsid w:val="008E065E"/>
    <w:rsid w:val="008E0927"/>
    <w:rsid w:val="008E1909"/>
    <w:rsid w:val="008E5ADC"/>
    <w:rsid w:val="008F1EAB"/>
    <w:rsid w:val="008F33DC"/>
    <w:rsid w:val="008F45B3"/>
    <w:rsid w:val="008F477F"/>
    <w:rsid w:val="00900066"/>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1D9E"/>
    <w:rsid w:val="00943742"/>
    <w:rsid w:val="00945C05"/>
    <w:rsid w:val="00946945"/>
    <w:rsid w:val="00947713"/>
    <w:rsid w:val="00950DE7"/>
    <w:rsid w:val="00952411"/>
    <w:rsid w:val="00953920"/>
    <w:rsid w:val="00953D47"/>
    <w:rsid w:val="009545BF"/>
    <w:rsid w:val="0095681E"/>
    <w:rsid w:val="009572D4"/>
    <w:rsid w:val="00961921"/>
    <w:rsid w:val="0096430A"/>
    <w:rsid w:val="0096554B"/>
    <w:rsid w:val="0096584A"/>
    <w:rsid w:val="00967E8D"/>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8CC"/>
    <w:rsid w:val="009D4FF0"/>
    <w:rsid w:val="009D703C"/>
    <w:rsid w:val="009D718F"/>
    <w:rsid w:val="009E068F"/>
    <w:rsid w:val="009E14E0"/>
    <w:rsid w:val="009E35DB"/>
    <w:rsid w:val="009E47A3"/>
    <w:rsid w:val="009F08F3"/>
    <w:rsid w:val="009F11B1"/>
    <w:rsid w:val="009F1C82"/>
    <w:rsid w:val="009F344F"/>
    <w:rsid w:val="00A031D8"/>
    <w:rsid w:val="00A032D0"/>
    <w:rsid w:val="00A048A8"/>
    <w:rsid w:val="00A04F49"/>
    <w:rsid w:val="00A12E0F"/>
    <w:rsid w:val="00A13E54"/>
    <w:rsid w:val="00A159C4"/>
    <w:rsid w:val="00A17F63"/>
    <w:rsid w:val="00A2193B"/>
    <w:rsid w:val="00A2351A"/>
    <w:rsid w:val="00A2537E"/>
    <w:rsid w:val="00A25A7F"/>
    <w:rsid w:val="00A264A9"/>
    <w:rsid w:val="00A26846"/>
    <w:rsid w:val="00A26DCF"/>
    <w:rsid w:val="00A27785"/>
    <w:rsid w:val="00A30187"/>
    <w:rsid w:val="00A31FBA"/>
    <w:rsid w:val="00A3448A"/>
    <w:rsid w:val="00A36297"/>
    <w:rsid w:val="00A41E2B"/>
    <w:rsid w:val="00A45B74"/>
    <w:rsid w:val="00A50544"/>
    <w:rsid w:val="00A52E1D"/>
    <w:rsid w:val="00A61290"/>
    <w:rsid w:val="00A61499"/>
    <w:rsid w:val="00A62A77"/>
    <w:rsid w:val="00A63483"/>
    <w:rsid w:val="00A657D7"/>
    <w:rsid w:val="00A660AC"/>
    <w:rsid w:val="00A67E6C"/>
    <w:rsid w:val="00A71B99"/>
    <w:rsid w:val="00A737F5"/>
    <w:rsid w:val="00A739D0"/>
    <w:rsid w:val="00A761D4"/>
    <w:rsid w:val="00A77EC4"/>
    <w:rsid w:val="00A92879"/>
    <w:rsid w:val="00A9442A"/>
    <w:rsid w:val="00AA016F"/>
    <w:rsid w:val="00AA1ED6"/>
    <w:rsid w:val="00AA51D6"/>
    <w:rsid w:val="00AA6684"/>
    <w:rsid w:val="00AB0BC8"/>
    <w:rsid w:val="00AB11CA"/>
    <w:rsid w:val="00AB14D9"/>
    <w:rsid w:val="00AB4AB8"/>
    <w:rsid w:val="00AB655E"/>
    <w:rsid w:val="00AB75EF"/>
    <w:rsid w:val="00AC007F"/>
    <w:rsid w:val="00AC2ECD"/>
    <w:rsid w:val="00AC3119"/>
    <w:rsid w:val="00AC49FB"/>
    <w:rsid w:val="00AC5A10"/>
    <w:rsid w:val="00AD0AA3"/>
    <w:rsid w:val="00AD3F94"/>
    <w:rsid w:val="00AD4A5A"/>
    <w:rsid w:val="00AE27AC"/>
    <w:rsid w:val="00AE40E0"/>
    <w:rsid w:val="00AE4DBA"/>
    <w:rsid w:val="00AE4F07"/>
    <w:rsid w:val="00AE6788"/>
    <w:rsid w:val="00AF134D"/>
    <w:rsid w:val="00AF1C5D"/>
    <w:rsid w:val="00AF42D7"/>
    <w:rsid w:val="00B006FE"/>
    <w:rsid w:val="00B007CB"/>
    <w:rsid w:val="00B02AA9"/>
    <w:rsid w:val="00B02FA3"/>
    <w:rsid w:val="00B05084"/>
    <w:rsid w:val="00B10098"/>
    <w:rsid w:val="00B157F9"/>
    <w:rsid w:val="00B20256"/>
    <w:rsid w:val="00B20D09"/>
    <w:rsid w:val="00B2763F"/>
    <w:rsid w:val="00B27AAC"/>
    <w:rsid w:val="00B30929"/>
    <w:rsid w:val="00B3623E"/>
    <w:rsid w:val="00B372AA"/>
    <w:rsid w:val="00B37AD9"/>
    <w:rsid w:val="00B40445"/>
    <w:rsid w:val="00B409E0"/>
    <w:rsid w:val="00B41888"/>
    <w:rsid w:val="00B43B6B"/>
    <w:rsid w:val="00B45A52"/>
    <w:rsid w:val="00B46175"/>
    <w:rsid w:val="00B46B54"/>
    <w:rsid w:val="00B548B7"/>
    <w:rsid w:val="00B62F2E"/>
    <w:rsid w:val="00B664C7"/>
    <w:rsid w:val="00B67929"/>
    <w:rsid w:val="00B714B6"/>
    <w:rsid w:val="00B739F6"/>
    <w:rsid w:val="00B773EF"/>
    <w:rsid w:val="00B81A6C"/>
    <w:rsid w:val="00B85DB6"/>
    <w:rsid w:val="00B85DE5"/>
    <w:rsid w:val="00B908F5"/>
    <w:rsid w:val="00B90F73"/>
    <w:rsid w:val="00B93B59"/>
    <w:rsid w:val="00B9406A"/>
    <w:rsid w:val="00B97DA2"/>
    <w:rsid w:val="00BA2280"/>
    <w:rsid w:val="00BA2A08"/>
    <w:rsid w:val="00BA56D2"/>
    <w:rsid w:val="00BA6893"/>
    <w:rsid w:val="00BA76E0"/>
    <w:rsid w:val="00BB2A25"/>
    <w:rsid w:val="00BB32DF"/>
    <w:rsid w:val="00BB51E9"/>
    <w:rsid w:val="00BC0FDC"/>
    <w:rsid w:val="00BC3053"/>
    <w:rsid w:val="00BC4D2E"/>
    <w:rsid w:val="00BC5824"/>
    <w:rsid w:val="00BD48AC"/>
    <w:rsid w:val="00BD5F1A"/>
    <w:rsid w:val="00BE05B4"/>
    <w:rsid w:val="00BE1234"/>
    <w:rsid w:val="00BE2FA6"/>
    <w:rsid w:val="00BE333F"/>
    <w:rsid w:val="00BE353C"/>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26AF"/>
    <w:rsid w:val="00C473A5"/>
    <w:rsid w:val="00C51F11"/>
    <w:rsid w:val="00C53632"/>
    <w:rsid w:val="00C54995"/>
    <w:rsid w:val="00C54D41"/>
    <w:rsid w:val="00C5702F"/>
    <w:rsid w:val="00C60783"/>
    <w:rsid w:val="00C64672"/>
    <w:rsid w:val="00C67B25"/>
    <w:rsid w:val="00C70697"/>
    <w:rsid w:val="00C72093"/>
    <w:rsid w:val="00C72EF4"/>
    <w:rsid w:val="00C744FE"/>
    <w:rsid w:val="00C75D2F"/>
    <w:rsid w:val="00C767BE"/>
    <w:rsid w:val="00C76E3C"/>
    <w:rsid w:val="00C81568"/>
    <w:rsid w:val="00C9027A"/>
    <w:rsid w:val="00C9068E"/>
    <w:rsid w:val="00C92F6B"/>
    <w:rsid w:val="00C93814"/>
    <w:rsid w:val="00C93C4B"/>
    <w:rsid w:val="00C944AB"/>
    <w:rsid w:val="00C95B40"/>
    <w:rsid w:val="00CA1ED8"/>
    <w:rsid w:val="00CA7608"/>
    <w:rsid w:val="00CB1F63"/>
    <w:rsid w:val="00CB3CBE"/>
    <w:rsid w:val="00CB7170"/>
    <w:rsid w:val="00CC040E"/>
    <w:rsid w:val="00CC111F"/>
    <w:rsid w:val="00CC2011"/>
    <w:rsid w:val="00CC3EA0"/>
    <w:rsid w:val="00CC4EFD"/>
    <w:rsid w:val="00CC7B45"/>
    <w:rsid w:val="00CD1188"/>
    <w:rsid w:val="00CD2ED1"/>
    <w:rsid w:val="00CD337B"/>
    <w:rsid w:val="00CE0424"/>
    <w:rsid w:val="00CE7561"/>
    <w:rsid w:val="00CF1354"/>
    <w:rsid w:val="00CF3B1F"/>
    <w:rsid w:val="00CF3BF6"/>
    <w:rsid w:val="00CF625B"/>
    <w:rsid w:val="00CF687E"/>
    <w:rsid w:val="00D0349B"/>
    <w:rsid w:val="00D037FB"/>
    <w:rsid w:val="00D10249"/>
    <w:rsid w:val="00D115C3"/>
    <w:rsid w:val="00D11897"/>
    <w:rsid w:val="00D13135"/>
    <w:rsid w:val="00D13E4E"/>
    <w:rsid w:val="00D17162"/>
    <w:rsid w:val="00D22AB5"/>
    <w:rsid w:val="00D239A7"/>
    <w:rsid w:val="00D23F47"/>
    <w:rsid w:val="00D250FB"/>
    <w:rsid w:val="00D263D5"/>
    <w:rsid w:val="00D33EBE"/>
    <w:rsid w:val="00D36E71"/>
    <w:rsid w:val="00D37D87"/>
    <w:rsid w:val="00D40B33"/>
    <w:rsid w:val="00D4318F"/>
    <w:rsid w:val="00D438BF"/>
    <w:rsid w:val="00D440F8"/>
    <w:rsid w:val="00D46DC7"/>
    <w:rsid w:val="00D503F0"/>
    <w:rsid w:val="00D546FF"/>
    <w:rsid w:val="00D55AD5"/>
    <w:rsid w:val="00D576CA"/>
    <w:rsid w:val="00D606B3"/>
    <w:rsid w:val="00D61AF5"/>
    <w:rsid w:val="00D652B5"/>
    <w:rsid w:val="00D66155"/>
    <w:rsid w:val="00D66CEB"/>
    <w:rsid w:val="00D708B0"/>
    <w:rsid w:val="00D77B1D"/>
    <w:rsid w:val="00D8021F"/>
    <w:rsid w:val="00D80383"/>
    <w:rsid w:val="00D823C6"/>
    <w:rsid w:val="00D8327F"/>
    <w:rsid w:val="00D86CA3"/>
    <w:rsid w:val="00D871CE"/>
    <w:rsid w:val="00D9196D"/>
    <w:rsid w:val="00D92982"/>
    <w:rsid w:val="00D94BA8"/>
    <w:rsid w:val="00DA305E"/>
    <w:rsid w:val="00DA5417"/>
    <w:rsid w:val="00DA56E8"/>
    <w:rsid w:val="00DB0A9F"/>
    <w:rsid w:val="00DB377D"/>
    <w:rsid w:val="00DB6FAF"/>
    <w:rsid w:val="00DC28C1"/>
    <w:rsid w:val="00DC2D36"/>
    <w:rsid w:val="00DC3932"/>
    <w:rsid w:val="00DC53EF"/>
    <w:rsid w:val="00DC6854"/>
    <w:rsid w:val="00DE0C56"/>
    <w:rsid w:val="00DE5608"/>
    <w:rsid w:val="00DE58D0"/>
    <w:rsid w:val="00DE654F"/>
    <w:rsid w:val="00DF0B6E"/>
    <w:rsid w:val="00DF15E0"/>
    <w:rsid w:val="00DF37A0"/>
    <w:rsid w:val="00E04332"/>
    <w:rsid w:val="00E06BFB"/>
    <w:rsid w:val="00E110E7"/>
    <w:rsid w:val="00E11B20"/>
    <w:rsid w:val="00E17FA2"/>
    <w:rsid w:val="00E22330"/>
    <w:rsid w:val="00E30B5A"/>
    <w:rsid w:val="00E3123D"/>
    <w:rsid w:val="00E31461"/>
    <w:rsid w:val="00E31D43"/>
    <w:rsid w:val="00E32608"/>
    <w:rsid w:val="00E328A7"/>
    <w:rsid w:val="00E331CB"/>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19B8"/>
    <w:rsid w:val="00E8234C"/>
    <w:rsid w:val="00E82507"/>
    <w:rsid w:val="00E83AA9"/>
    <w:rsid w:val="00E853B0"/>
    <w:rsid w:val="00E85928"/>
    <w:rsid w:val="00E87822"/>
    <w:rsid w:val="00E90395"/>
    <w:rsid w:val="00E90E49"/>
    <w:rsid w:val="00E917F9"/>
    <w:rsid w:val="00E9291C"/>
    <w:rsid w:val="00E93FFE"/>
    <w:rsid w:val="00E942C7"/>
    <w:rsid w:val="00E94F8A"/>
    <w:rsid w:val="00EA1F10"/>
    <w:rsid w:val="00EA56CB"/>
    <w:rsid w:val="00EA7A41"/>
    <w:rsid w:val="00EB077B"/>
    <w:rsid w:val="00EB4EA2"/>
    <w:rsid w:val="00EB7EEC"/>
    <w:rsid w:val="00EC06A0"/>
    <w:rsid w:val="00EC24D5"/>
    <w:rsid w:val="00EC27C6"/>
    <w:rsid w:val="00EC4207"/>
    <w:rsid w:val="00EC4447"/>
    <w:rsid w:val="00EC5653"/>
    <w:rsid w:val="00EC71CE"/>
    <w:rsid w:val="00ED1006"/>
    <w:rsid w:val="00EE1B8C"/>
    <w:rsid w:val="00EE32C1"/>
    <w:rsid w:val="00EF0074"/>
    <w:rsid w:val="00EF0E40"/>
    <w:rsid w:val="00EF1416"/>
    <w:rsid w:val="00EF18FE"/>
    <w:rsid w:val="00EF402A"/>
    <w:rsid w:val="00EF5787"/>
    <w:rsid w:val="00EF60D0"/>
    <w:rsid w:val="00EF76FE"/>
    <w:rsid w:val="00F0528D"/>
    <w:rsid w:val="00F06C67"/>
    <w:rsid w:val="00F06DFD"/>
    <w:rsid w:val="00F071D1"/>
    <w:rsid w:val="00F07533"/>
    <w:rsid w:val="00F10629"/>
    <w:rsid w:val="00F12834"/>
    <w:rsid w:val="00F15FA5"/>
    <w:rsid w:val="00F209B7"/>
    <w:rsid w:val="00F2376F"/>
    <w:rsid w:val="00F243D8"/>
    <w:rsid w:val="00F30828"/>
    <w:rsid w:val="00F313D6"/>
    <w:rsid w:val="00F36C4C"/>
    <w:rsid w:val="00F40F0C"/>
    <w:rsid w:val="00F4524D"/>
    <w:rsid w:val="00F4766C"/>
    <w:rsid w:val="00F5060E"/>
    <w:rsid w:val="00F507D1"/>
    <w:rsid w:val="00F519CE"/>
    <w:rsid w:val="00F51ADA"/>
    <w:rsid w:val="00F520A3"/>
    <w:rsid w:val="00F54349"/>
    <w:rsid w:val="00F60203"/>
    <w:rsid w:val="00F607C5"/>
    <w:rsid w:val="00F60DEA"/>
    <w:rsid w:val="00F6302A"/>
    <w:rsid w:val="00F63950"/>
    <w:rsid w:val="00F64C2B"/>
    <w:rsid w:val="00F651BE"/>
    <w:rsid w:val="00F67F53"/>
    <w:rsid w:val="00F703BE"/>
    <w:rsid w:val="00F71F69"/>
    <w:rsid w:val="00F72695"/>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2DF6"/>
    <w:rsid w:val="00FB4C80"/>
    <w:rsid w:val="00FB6A6A"/>
    <w:rsid w:val="00FB7C1F"/>
    <w:rsid w:val="00FC7429"/>
    <w:rsid w:val="00FD07F6"/>
    <w:rsid w:val="00FD1EC8"/>
    <w:rsid w:val="00FD47ED"/>
    <w:rsid w:val="00FD4889"/>
    <w:rsid w:val="00FD74DB"/>
    <w:rsid w:val="00FD7660"/>
    <w:rsid w:val="00FE0655"/>
    <w:rsid w:val="00FE1BE8"/>
    <w:rsid w:val="00FE2365"/>
    <w:rsid w:val="00FE37D7"/>
    <w:rsid w:val="00FE4C7B"/>
    <w:rsid w:val="00FE4E6A"/>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30C6A124-1DE8-4F97-AC33-B21462ABC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2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499016">
      <w:bodyDiv w:val="1"/>
      <w:marLeft w:val="0"/>
      <w:marRight w:val="0"/>
      <w:marTop w:val="0"/>
      <w:marBottom w:val="0"/>
      <w:divBdr>
        <w:top w:val="none" w:sz="0" w:space="0" w:color="auto"/>
        <w:left w:val="none" w:sz="0" w:space="0" w:color="auto"/>
        <w:bottom w:val="none" w:sz="0" w:space="0" w:color="auto"/>
        <w:right w:val="none" w:sz="0" w:space="0" w:color="auto"/>
      </w:divBdr>
      <w:divsChild>
        <w:div w:id="7560505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purl.org/dc/dcmitype/"/>
    <ds:schemaRef ds:uri="http://purl.org/dc/elements/1.1/"/>
    <ds:schemaRef ds:uri="9b239327-9e80-40e4-b1b7-4394fed77a33"/>
    <ds:schemaRef ds:uri="http://purl.org/dc/terms/"/>
    <ds:schemaRef ds:uri="2f282d3b-eb4a-4b09-b61f-b9593442e286"/>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5F72199D-89D0-4FFF-BA73-146620614C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F91ADE-0461-46A3-AACA-038052072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2</Pages>
  <Words>1000</Words>
  <Characters>5522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6509</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Zhenhua Zou</cp:lastModifiedBy>
  <cp:revision>185</cp:revision>
  <cp:lastPrinted>2008-01-31T07:09:00Z</cp:lastPrinted>
  <dcterms:created xsi:type="dcterms:W3CDTF">2019-11-29T11:49:00Z</dcterms:created>
  <dcterms:modified xsi:type="dcterms:W3CDTF">2020-02-13T17:54:00Z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